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597F2A" w:rsidP="00D61130">
      <w:pPr>
        <w:rPr>
          <w:b/>
          <w:sz w:val="24"/>
          <w:szCs w:val="24"/>
        </w:rPr>
      </w:pPr>
      <w:r>
        <w:rPr>
          <w:b/>
          <w:sz w:val="24"/>
          <w:szCs w:val="24"/>
        </w:rPr>
        <w:t>Y13</w:t>
      </w:r>
      <w:r w:rsidR="00C66EAF" w:rsidRPr="006B4FC2">
        <w:rPr>
          <w:b/>
          <w:sz w:val="24"/>
          <w:szCs w:val="24"/>
        </w:rPr>
        <w:t xml:space="preserve"> A</w:t>
      </w:r>
      <w:r>
        <w:rPr>
          <w:b/>
          <w:sz w:val="24"/>
          <w:szCs w:val="24"/>
        </w:rPr>
        <w:t xml:space="preserve"> Level</w:t>
      </w:r>
      <w:r w:rsidR="00C66EAF" w:rsidRPr="006B4FC2">
        <w:rPr>
          <w:b/>
          <w:sz w:val="24"/>
          <w:szCs w:val="24"/>
        </w:rPr>
        <w:t xml:space="preserve"> </w:t>
      </w:r>
      <w:r w:rsidR="00D9213D">
        <w:rPr>
          <w:b/>
          <w:sz w:val="24"/>
          <w:szCs w:val="24"/>
        </w:rPr>
        <w:t>Mathematics</w:t>
      </w:r>
    </w:p>
    <w:p w:rsidR="00C66EAF" w:rsidRPr="006B4FC2" w:rsidRDefault="00635FFF" w:rsidP="00D61130">
      <w:pPr>
        <w:rPr>
          <w:b/>
          <w:sz w:val="28"/>
          <w:szCs w:val="28"/>
        </w:rPr>
      </w:pPr>
      <w:r>
        <w:rPr>
          <w:b/>
          <w:sz w:val="28"/>
          <w:szCs w:val="28"/>
        </w:rPr>
        <w:t>27</w:t>
      </w:r>
      <w:r w:rsidR="00597F2A">
        <w:rPr>
          <w:b/>
          <w:sz w:val="28"/>
          <w:szCs w:val="28"/>
        </w:rPr>
        <w:t xml:space="preserve"> </w:t>
      </w:r>
      <w:proofErr w:type="spellStart"/>
      <w:r w:rsidR="00597F2A">
        <w:rPr>
          <w:b/>
          <w:sz w:val="28"/>
          <w:szCs w:val="28"/>
        </w:rPr>
        <w:t>Trignometric</w:t>
      </w:r>
      <w:proofErr w:type="spellEnd"/>
      <w:r w:rsidR="00597F2A">
        <w:rPr>
          <w:b/>
          <w:sz w:val="28"/>
          <w:szCs w:val="28"/>
        </w:rPr>
        <w:t xml:space="preserve"> Functions</w:t>
      </w:r>
      <w:r w:rsidR="00E34D5E">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DC3AE9">
        <w:rPr>
          <w:b/>
          <w:sz w:val="28"/>
          <w:szCs w:val="28"/>
        </w:rPr>
        <w:tab/>
        <w:t>1</w:t>
      </w:r>
      <w:r w:rsidR="00D9213D">
        <w:rPr>
          <w:b/>
          <w:sz w:val="28"/>
          <w:szCs w:val="28"/>
        </w:rPr>
        <w:t xml:space="preserve"> week</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D94E31" w:rsidRPr="00F03C93" w:rsidRDefault="00C66EAF" w:rsidP="00D94E31">
      <w:pPr>
        <w:ind w:left="720" w:hanging="720"/>
      </w:pPr>
      <w:proofErr w:type="spellStart"/>
      <w:proofErr w:type="gramStart"/>
      <w:r w:rsidRPr="00F03C93">
        <w:rPr>
          <w:b/>
        </w:rPr>
        <w:lastRenderedPageBreak/>
        <w:t>a</w:t>
      </w:r>
      <w:proofErr w:type="spellEnd"/>
      <w:proofErr w:type="gramEnd"/>
      <w:r w:rsidRPr="00F03C93">
        <w:tab/>
      </w:r>
      <w:r w:rsidR="00D94E31" w:rsidRPr="00F03C93">
        <w:t>To understand the definitions</w:t>
      </w:r>
      <w:r w:rsidR="00597F2A" w:rsidRPr="00F03C93">
        <w:t xml:space="preserve"> of </w:t>
      </w:r>
      <w:r w:rsidR="00D94E31" w:rsidRPr="00F03C93">
        <w:t xml:space="preserve">and be able to use </w:t>
      </w:r>
      <w:r w:rsidR="00597F2A" w:rsidRPr="00F03C93">
        <w:t>secant, cosecant and cotangent.</w:t>
      </w:r>
    </w:p>
    <w:p w:rsidR="00D94E31" w:rsidRPr="00F03C93" w:rsidRDefault="00D94E31" w:rsidP="00D94E31">
      <w:pPr>
        <w:ind w:left="720" w:hanging="720"/>
      </w:pPr>
      <w:proofErr w:type="gramStart"/>
      <w:r w:rsidRPr="00F03C93">
        <w:rPr>
          <w:b/>
        </w:rPr>
        <w:t>b</w:t>
      </w:r>
      <w:proofErr w:type="gramEnd"/>
      <w:r w:rsidRPr="00F03C93">
        <w:t xml:space="preserve"> </w:t>
      </w:r>
      <w:r w:rsidRPr="00F03C93">
        <w:tab/>
        <w:t xml:space="preserve">To understand the definitions of and be able to use </w:t>
      </w:r>
      <w:proofErr w:type="spellStart"/>
      <w:r w:rsidRPr="00F03C93">
        <w:t>arcsin</w:t>
      </w:r>
      <w:proofErr w:type="spellEnd"/>
      <w:r w:rsidRPr="00F03C93">
        <w:t xml:space="preserve">, </w:t>
      </w:r>
      <w:proofErr w:type="spellStart"/>
      <w:r w:rsidRPr="00F03C93">
        <w:t>arccos</w:t>
      </w:r>
      <w:proofErr w:type="spellEnd"/>
      <w:r w:rsidRPr="00F03C93">
        <w:t xml:space="preserve"> and </w:t>
      </w:r>
      <w:proofErr w:type="spellStart"/>
      <w:r w:rsidRPr="00F03C93">
        <w:t>arctan</w:t>
      </w:r>
      <w:proofErr w:type="spellEnd"/>
    </w:p>
    <w:p w:rsidR="00C66EAF" w:rsidRPr="00F03C93" w:rsidRDefault="00D94E31" w:rsidP="00C66EAF">
      <w:pPr>
        <w:ind w:left="720" w:hanging="720"/>
      </w:pPr>
      <w:proofErr w:type="gramStart"/>
      <w:r w:rsidRPr="00F03C93">
        <w:rPr>
          <w:b/>
        </w:rPr>
        <w:t>c</w:t>
      </w:r>
      <w:proofErr w:type="gramEnd"/>
      <w:r w:rsidR="00C66EAF" w:rsidRPr="00F03C93">
        <w:tab/>
      </w:r>
      <w:r w:rsidR="00597F2A" w:rsidRPr="00F03C93">
        <w:t>To understand the relationships of secant, cosecant and cotangent to sine, cosine and tangent</w:t>
      </w:r>
    </w:p>
    <w:p w:rsidR="00C66EAF" w:rsidRPr="00F03C93" w:rsidRDefault="00D9213D" w:rsidP="009427DD">
      <w:pPr>
        <w:ind w:left="720" w:hanging="720"/>
      </w:pPr>
      <w:proofErr w:type="gramStart"/>
      <w:r w:rsidRPr="00F03C93">
        <w:rPr>
          <w:b/>
        </w:rPr>
        <w:t>d</w:t>
      </w:r>
      <w:proofErr w:type="gramEnd"/>
      <w:r w:rsidR="00C66EAF" w:rsidRPr="00F03C93">
        <w:tab/>
      </w:r>
      <w:r w:rsidR="00597F2A" w:rsidRPr="00F03C93">
        <w:t>To understand the graphs of secant, cosecant and cotangent, their ranges and domains</w:t>
      </w:r>
    </w:p>
    <w:p w:rsidR="007350DA" w:rsidRPr="00F03C93" w:rsidRDefault="00D9213D" w:rsidP="009427DD">
      <w:pPr>
        <w:ind w:left="720" w:hanging="720"/>
      </w:pPr>
      <w:proofErr w:type="gramStart"/>
      <w:r w:rsidRPr="00F03C93">
        <w:rPr>
          <w:b/>
        </w:rPr>
        <w:lastRenderedPageBreak/>
        <w:t>e</w:t>
      </w:r>
      <w:proofErr w:type="gramEnd"/>
      <w:r w:rsidR="00033DB7" w:rsidRPr="00F03C93">
        <w:tab/>
      </w:r>
      <w:r w:rsidR="0067069C" w:rsidRPr="00F03C93">
        <w:t xml:space="preserve">To understand the graphs of </w:t>
      </w:r>
      <w:proofErr w:type="spellStart"/>
      <w:r w:rsidR="0067069C" w:rsidRPr="00F03C93">
        <w:t>arcsin</w:t>
      </w:r>
      <w:proofErr w:type="spellEnd"/>
      <w:r w:rsidR="0067069C" w:rsidRPr="00F03C93">
        <w:t xml:space="preserve">, </w:t>
      </w:r>
      <w:proofErr w:type="spellStart"/>
      <w:r w:rsidR="0067069C" w:rsidRPr="00F03C93">
        <w:t>arccos</w:t>
      </w:r>
      <w:proofErr w:type="spellEnd"/>
      <w:r w:rsidR="0067069C" w:rsidRPr="00F03C93">
        <w:t xml:space="preserve"> and </w:t>
      </w:r>
      <w:proofErr w:type="spellStart"/>
      <w:r w:rsidR="0067069C" w:rsidRPr="00F03C93">
        <w:t>arctan</w:t>
      </w:r>
      <w:proofErr w:type="spellEnd"/>
      <w:r w:rsidR="0067069C" w:rsidRPr="00F03C93">
        <w:t>, their ranges and domains</w:t>
      </w:r>
    </w:p>
    <w:p w:rsidR="00C66EAF" w:rsidRPr="00F03C93" w:rsidRDefault="00D9213D" w:rsidP="00F03C93">
      <w:pPr>
        <w:ind w:left="720" w:hanging="720"/>
        <w:rPr>
          <w:bCs/>
        </w:rPr>
      </w:pPr>
      <w:proofErr w:type="gramStart"/>
      <w:r w:rsidRPr="00F03C93">
        <w:rPr>
          <w:b/>
        </w:rPr>
        <w:t>f</w:t>
      </w:r>
      <w:proofErr w:type="gramEnd"/>
      <w:r w:rsidR="007350DA" w:rsidRPr="00F03C93">
        <w:tab/>
      </w:r>
      <w:r w:rsidR="00597F2A" w:rsidRPr="00F03C93">
        <w:t xml:space="preserve">Understand, derive and use </w:t>
      </w:r>
      <m:oMath>
        <m:r>
          <w:rPr>
            <w:rFonts w:ascii="Cambria Math" w:hAnsi="Cambria Math"/>
          </w:rPr>
          <m:t>se</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θ=1+ta</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θ</m:t>
        </m:r>
      </m:oMath>
      <w:r w:rsidR="00597F2A" w:rsidRPr="00F03C93">
        <w:rPr>
          <w:rFonts w:eastAsiaTheme="minorEastAsia"/>
        </w:rPr>
        <w:t xml:space="preserve"> and</w:t>
      </w:r>
      <w:r w:rsidR="007350DA" w:rsidRPr="00F03C93">
        <w:rPr>
          <w:rFonts w:eastAsiaTheme="minorEastAsia"/>
        </w:rPr>
        <w:tab/>
      </w:r>
      <w:r w:rsidR="007350DA" w:rsidRPr="00F03C93">
        <w:rPr>
          <w:rFonts w:eastAsiaTheme="minorEastAsia"/>
        </w:rPr>
        <w:tab/>
      </w:r>
      <w:r w:rsidR="007350DA" w:rsidRPr="00F03C93">
        <w:rPr>
          <w:rFonts w:eastAsiaTheme="minorEastAsia"/>
        </w:rPr>
        <w:tab/>
      </w:r>
      <w:r w:rsidR="00597F2A" w:rsidRPr="00F03C93">
        <w:rPr>
          <w:rFonts w:eastAsiaTheme="minorEastAsia"/>
        </w:rPr>
        <w:t xml:space="preserve"> </w:t>
      </w:r>
      <m:oMath>
        <m:r>
          <w:rPr>
            <w:rFonts w:ascii="Cambria Math" w:eastAsiaTheme="minorEastAsia" w:hAnsi="Cambria Math"/>
          </w:rPr>
          <m:t>cose</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θ=1+co</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θ</m:t>
        </m:r>
      </m:oMath>
    </w:p>
    <w:p w:rsidR="00AC6F3A" w:rsidRPr="00F03C93" w:rsidRDefault="00D9213D" w:rsidP="00897D57">
      <w:pPr>
        <w:ind w:left="720" w:hanging="720"/>
        <w:rPr>
          <w:bCs/>
          <w:sz w:val="28"/>
        </w:rPr>
        <w:sectPr w:rsidR="00AC6F3A" w:rsidRPr="00F03C93" w:rsidSect="00C66EAF">
          <w:type w:val="continuous"/>
          <w:pgSz w:w="16838" w:h="11906" w:orient="landscape" w:code="9"/>
          <w:pgMar w:top="851" w:right="851" w:bottom="851" w:left="851" w:header="709" w:footer="397" w:gutter="0"/>
          <w:cols w:num="2" w:space="708"/>
          <w:docGrid w:linePitch="360"/>
        </w:sectPr>
      </w:pPr>
      <w:proofErr w:type="gramStart"/>
      <w:r w:rsidRPr="00F03C93">
        <w:rPr>
          <w:b/>
          <w:bCs/>
        </w:rPr>
        <w:t>g</w:t>
      </w:r>
      <w:proofErr w:type="gramEnd"/>
      <w:r w:rsidR="00356F3F" w:rsidRPr="00F03C93">
        <w:rPr>
          <w:bCs/>
        </w:rPr>
        <w:tab/>
      </w:r>
      <w:r w:rsidR="00597F2A" w:rsidRPr="00F03C93">
        <w:rPr>
          <w:bCs/>
        </w:rPr>
        <w:t>Be able to construct proofs involving trigonometric ratios and identities.</w:t>
      </w:r>
      <w:r w:rsidR="00AC6F3A" w:rsidRPr="00F03C93">
        <w:rPr>
          <w:bCs/>
        </w:rPr>
        <w:tab/>
      </w:r>
    </w:p>
    <w:p w:rsidR="00631313" w:rsidRPr="00631313" w:rsidRDefault="00631313" w:rsidP="00C66EAF">
      <w:pPr>
        <w:pStyle w:val="Header"/>
        <w:rPr>
          <w:b/>
          <w:bCs/>
        </w:rPr>
      </w:pPr>
      <w:r w:rsidRPr="00631313">
        <w:rPr>
          <w:b/>
          <w:bCs/>
        </w:rPr>
        <w:lastRenderedPageBreak/>
        <w:t>Resources for advance preparation:</w:t>
      </w:r>
    </w:p>
    <w:p w:rsidR="00631313" w:rsidRDefault="00631313" w:rsidP="00C66EAF">
      <w:pPr>
        <w:pStyle w:val="Header"/>
        <w:rPr>
          <w:b/>
          <w:bCs/>
          <w:color w:val="0070C0"/>
        </w:rPr>
        <w:sectPr w:rsidR="00631313" w:rsidSect="00C66EAF">
          <w:type w:val="continuous"/>
          <w:pgSz w:w="16838" w:h="11906" w:orient="landscape" w:code="9"/>
          <w:pgMar w:top="851" w:right="851" w:bottom="851" w:left="851" w:header="709" w:footer="397" w:gutter="0"/>
          <w:cols w:space="708"/>
          <w:docGrid w:linePitch="360"/>
        </w:sectPr>
      </w:pPr>
      <w:bookmarkStart w:id="0" w:name="_GoBack"/>
      <w:bookmarkEnd w:id="0"/>
    </w:p>
    <w:p w:rsidR="00396326" w:rsidRDefault="00396326" w:rsidP="00C66EAF">
      <w:pPr>
        <w:pStyle w:val="Header"/>
      </w:pPr>
    </w:p>
    <w:p w:rsidR="00631313" w:rsidRDefault="00631313" w:rsidP="00967A45">
      <w:pPr>
        <w:rPr>
          <w:b/>
          <w:sz w:val="28"/>
        </w:rPr>
      </w:pPr>
    </w:p>
    <w:p w:rsidR="00396326" w:rsidRDefault="00396326" w:rsidP="00967A45">
      <w:pPr>
        <w:rPr>
          <w:b/>
          <w:sz w:val="28"/>
        </w:rPr>
        <w:sectPr w:rsidR="00396326"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812"/>
        <w:gridCol w:w="3227"/>
        <w:gridCol w:w="3402"/>
      </w:tblGrid>
      <w:tr w:rsidR="009537B6" w:rsidRPr="006B4FC2" w:rsidTr="009537B6">
        <w:tc>
          <w:tcPr>
            <w:tcW w:w="392" w:type="dxa"/>
          </w:tcPr>
          <w:p w:rsidR="009537B6" w:rsidRPr="009537B6" w:rsidRDefault="009537B6" w:rsidP="00967A45">
            <w:pPr>
              <w:rPr>
                <w:b/>
                <w:sz w:val="28"/>
              </w:rPr>
            </w:pPr>
          </w:p>
        </w:tc>
        <w:tc>
          <w:tcPr>
            <w:tcW w:w="2268" w:type="dxa"/>
          </w:tcPr>
          <w:p w:rsidR="009537B6" w:rsidRPr="006B4FC2" w:rsidRDefault="009537B6" w:rsidP="00967A45">
            <w:pPr>
              <w:rPr>
                <w:b/>
                <w:sz w:val="28"/>
              </w:rPr>
            </w:pPr>
            <w:r w:rsidRPr="006B4FC2">
              <w:rPr>
                <w:b/>
                <w:sz w:val="28"/>
              </w:rPr>
              <w:t>Starter</w:t>
            </w:r>
          </w:p>
        </w:tc>
        <w:tc>
          <w:tcPr>
            <w:tcW w:w="5812" w:type="dxa"/>
          </w:tcPr>
          <w:p w:rsidR="009537B6" w:rsidRPr="006B4FC2" w:rsidRDefault="009537B6" w:rsidP="00967A45">
            <w:pPr>
              <w:rPr>
                <w:b/>
                <w:sz w:val="28"/>
              </w:rPr>
            </w:pPr>
            <w:r w:rsidRPr="006B4FC2">
              <w:rPr>
                <w:b/>
                <w:sz w:val="28"/>
              </w:rPr>
              <w:t>Main teaching</w:t>
            </w:r>
          </w:p>
          <w:p w:rsidR="009537B6" w:rsidRPr="006B4FC2" w:rsidRDefault="009537B6" w:rsidP="00967A45">
            <w:r w:rsidRPr="006B4FC2">
              <w:t>Including key questions, key teaching points, models and resources</w:t>
            </w:r>
          </w:p>
        </w:tc>
        <w:tc>
          <w:tcPr>
            <w:tcW w:w="3227" w:type="dxa"/>
          </w:tcPr>
          <w:p w:rsidR="009537B6" w:rsidRPr="006B4FC2" w:rsidRDefault="009537B6" w:rsidP="00967A45">
            <w:pPr>
              <w:rPr>
                <w:b/>
                <w:sz w:val="28"/>
              </w:rPr>
            </w:pPr>
            <w:r w:rsidRPr="006B4FC2">
              <w:rPr>
                <w:b/>
                <w:sz w:val="28"/>
              </w:rPr>
              <w:t>Notes</w:t>
            </w:r>
          </w:p>
          <w:p w:rsidR="009537B6" w:rsidRPr="006B4FC2" w:rsidRDefault="009537B6" w:rsidP="00967A45">
            <w:r w:rsidRPr="006B4FC2">
              <w:t>Including Support and Extension</w:t>
            </w:r>
          </w:p>
        </w:tc>
        <w:tc>
          <w:tcPr>
            <w:tcW w:w="3402" w:type="dxa"/>
          </w:tcPr>
          <w:p w:rsidR="009537B6" w:rsidRPr="006B4FC2" w:rsidRDefault="009537B6" w:rsidP="00967A45">
            <w:pPr>
              <w:rPr>
                <w:b/>
                <w:sz w:val="28"/>
              </w:rPr>
            </w:pPr>
            <w:r>
              <w:rPr>
                <w:b/>
                <w:sz w:val="28"/>
              </w:rPr>
              <w:t>Consolidation/Plenary</w:t>
            </w:r>
          </w:p>
          <w:p w:rsidR="009537B6" w:rsidRPr="006B4FC2" w:rsidRDefault="009537B6" w:rsidP="00967A45">
            <w:r w:rsidRPr="006B4FC2">
              <w:t>Including key questions and homework</w:t>
            </w:r>
          </w:p>
        </w:tc>
      </w:tr>
      <w:tr w:rsidR="009537B6" w:rsidRPr="006B4FC2" w:rsidTr="009537B6">
        <w:tc>
          <w:tcPr>
            <w:tcW w:w="392" w:type="dxa"/>
          </w:tcPr>
          <w:p w:rsidR="009537B6" w:rsidRPr="009537B6" w:rsidRDefault="009537B6" w:rsidP="00967A45">
            <w:pPr>
              <w:rPr>
                <w:b/>
              </w:rPr>
            </w:pPr>
            <w:r w:rsidRPr="009537B6">
              <w:rPr>
                <w:b/>
              </w:rPr>
              <w:t>1</w:t>
            </w:r>
          </w:p>
        </w:tc>
        <w:tc>
          <w:tcPr>
            <w:tcW w:w="2268" w:type="dxa"/>
          </w:tcPr>
          <w:p w:rsidR="00396326" w:rsidRDefault="00396326" w:rsidP="00967A45"/>
          <w:p w:rsidR="00396326" w:rsidRDefault="00396326" w:rsidP="00967A45"/>
          <w:p w:rsidR="00396326" w:rsidRDefault="00396326" w:rsidP="00967A45"/>
          <w:p w:rsidR="00C8753A" w:rsidRDefault="00143101" w:rsidP="00C8753A">
            <w:pPr>
              <w:rPr>
                <w:rStyle w:val="Hyperlink"/>
              </w:rPr>
            </w:pPr>
            <w:hyperlink r:id="rId11" w:history="1">
              <w:r w:rsidR="00C8753A">
                <w:rPr>
                  <w:rStyle w:val="Hyperlink"/>
                </w:rPr>
                <w:t>Going round in Circles</w:t>
              </w:r>
            </w:hyperlink>
          </w:p>
          <w:p w:rsidR="009D3D51" w:rsidRDefault="009D3D51" w:rsidP="00C8753A"/>
          <w:p w:rsidR="00396326" w:rsidRDefault="00396326" w:rsidP="00967A45"/>
          <w:p w:rsidR="00396326" w:rsidRPr="006B4FC2" w:rsidRDefault="000815B4" w:rsidP="00967A45">
            <w:r>
              <w:t>Extended Starter: Triangles</w:t>
            </w:r>
          </w:p>
        </w:tc>
        <w:tc>
          <w:tcPr>
            <w:tcW w:w="5812" w:type="dxa"/>
          </w:tcPr>
          <w:p w:rsidR="009537B6" w:rsidRDefault="000815B4" w:rsidP="000815B4">
            <w:r>
              <w:t>From discussion relating to the starter, follow on and derive identities from relabelled triangles.</w:t>
            </w:r>
          </w:p>
          <w:p w:rsidR="000815B4" w:rsidRDefault="000815B4" w:rsidP="000815B4"/>
          <w:p w:rsidR="000815B4" w:rsidRDefault="00D02CF6" w:rsidP="000815B4">
            <w:r>
              <w:t>From here two similar resource provide an alternative insight into trig ratios to the traditional one:</w:t>
            </w:r>
          </w:p>
          <w:p w:rsidR="00D02CF6" w:rsidRPr="006B4FC2" w:rsidRDefault="00C4113B" w:rsidP="000815B4">
            <w:r w:rsidRPr="002A3880">
              <w:rPr>
                <w:i/>
              </w:rPr>
              <w:t>Things you might have noticed</w:t>
            </w:r>
            <w:r>
              <w:t xml:space="preserve"> from the </w:t>
            </w:r>
            <w:r w:rsidRPr="002A3880">
              <w:rPr>
                <w:b/>
              </w:rPr>
              <w:t>Going round in circles</w:t>
            </w:r>
            <w:r>
              <w:t xml:space="preserve"> and </w:t>
            </w:r>
            <w:hyperlink r:id="rId12" w:history="1">
              <w:r w:rsidRPr="00C4113B">
                <w:rPr>
                  <w:rStyle w:val="Hyperlink"/>
                </w:rPr>
                <w:t>Six Trigonometric Functions</w:t>
              </w:r>
            </w:hyperlink>
            <w:r w:rsidR="002A3880">
              <w:t xml:space="preserve"> from MEI both investigate the relationship between the new and familiar trigonometric identities.</w:t>
            </w:r>
          </w:p>
        </w:tc>
        <w:tc>
          <w:tcPr>
            <w:tcW w:w="3227" w:type="dxa"/>
          </w:tcPr>
          <w:p w:rsidR="009537B6" w:rsidRDefault="002A3880" w:rsidP="002A3880">
            <w:r>
              <w:t>For some students, the approaches in these tasks are new and will require some pointers; the use of area with different sides/trig ratios, is probably new to them.</w:t>
            </w:r>
          </w:p>
          <w:p w:rsidR="002A3880" w:rsidRPr="006B4FC2" w:rsidRDefault="002A3880" w:rsidP="002A3880"/>
        </w:tc>
        <w:tc>
          <w:tcPr>
            <w:tcW w:w="3402" w:type="dxa"/>
          </w:tcPr>
          <w:p w:rsidR="009537B6" w:rsidRDefault="00C27154" w:rsidP="00C27154">
            <w:r>
              <w:t>Plenary and homework to be shared at the start of next lesson.</w:t>
            </w:r>
          </w:p>
          <w:p w:rsidR="00C27154" w:rsidRPr="00080939" w:rsidRDefault="00143101" w:rsidP="00C27154">
            <w:hyperlink r:id="rId13" w:history="1">
              <w:r w:rsidR="00C27154" w:rsidRPr="00C27154">
                <w:rPr>
                  <w:rStyle w:val="Hyperlink"/>
                </w:rPr>
                <w:t>SAN-</w:t>
              </w:r>
              <w:proofErr w:type="spellStart"/>
              <w:r w:rsidR="00C27154" w:rsidRPr="00C27154">
                <w:rPr>
                  <w:rStyle w:val="Hyperlink"/>
                </w:rPr>
                <w:t>Trig_Statements</w:t>
              </w:r>
              <w:proofErr w:type="spellEnd"/>
            </w:hyperlink>
          </w:p>
        </w:tc>
      </w:tr>
      <w:tr w:rsidR="009537B6" w:rsidRPr="006B4FC2" w:rsidTr="009537B6">
        <w:tc>
          <w:tcPr>
            <w:tcW w:w="392" w:type="dxa"/>
          </w:tcPr>
          <w:p w:rsidR="009537B6" w:rsidRPr="009537B6" w:rsidRDefault="009537B6" w:rsidP="00080939">
            <w:pPr>
              <w:rPr>
                <w:b/>
              </w:rPr>
            </w:pPr>
            <w:r>
              <w:rPr>
                <w:b/>
              </w:rPr>
              <w:t>2</w:t>
            </w:r>
          </w:p>
        </w:tc>
        <w:tc>
          <w:tcPr>
            <w:tcW w:w="2268" w:type="dxa"/>
          </w:tcPr>
          <w:p w:rsidR="009537B6" w:rsidRDefault="009537B6" w:rsidP="00967A45"/>
          <w:p w:rsidR="00396326" w:rsidRDefault="00C27154" w:rsidP="00967A45">
            <w:r>
              <w:t>Look at the SAN-</w:t>
            </w:r>
            <w:proofErr w:type="spellStart"/>
            <w:r>
              <w:t>Trig_statements</w:t>
            </w:r>
            <w:proofErr w:type="spellEnd"/>
          </w:p>
          <w:p w:rsidR="00396326" w:rsidRDefault="00AD1CDD" w:rsidP="00967A45">
            <w:r>
              <w:t>From last homework.</w:t>
            </w:r>
          </w:p>
          <w:p w:rsidR="00396326" w:rsidRDefault="00396326" w:rsidP="00967A45"/>
          <w:p w:rsidR="00C8753A" w:rsidRDefault="00143101" w:rsidP="00C8753A">
            <w:hyperlink r:id="rId14" w:history="1">
              <w:r w:rsidR="00C8753A" w:rsidRPr="00D51DDC">
                <w:rPr>
                  <w:rStyle w:val="Hyperlink"/>
                </w:rPr>
                <w:t>Muddled Trig</w:t>
              </w:r>
            </w:hyperlink>
          </w:p>
          <w:p w:rsidR="00396326" w:rsidRDefault="00396326" w:rsidP="00967A45"/>
          <w:p w:rsidR="00396326" w:rsidRDefault="00396326" w:rsidP="00967A45"/>
          <w:p w:rsidR="00396326" w:rsidRDefault="00396326" w:rsidP="00967A45"/>
          <w:p w:rsidR="00396326" w:rsidRPr="006B4FC2" w:rsidRDefault="00396326" w:rsidP="00967A45"/>
        </w:tc>
        <w:tc>
          <w:tcPr>
            <w:tcW w:w="5812" w:type="dxa"/>
          </w:tcPr>
          <w:p w:rsidR="009537B6" w:rsidRDefault="00AF7B3E" w:rsidP="00A644CB">
            <w:pPr>
              <w:rPr>
                <w:rFonts w:eastAsiaTheme="minorEastAsia"/>
              </w:rPr>
            </w:pPr>
            <w:r>
              <w:rPr>
                <w:b/>
              </w:rPr>
              <w:t xml:space="preserve">Muddled Trig </w:t>
            </w:r>
            <w:r w:rsidR="00720E44">
              <w:t xml:space="preserve">provides the opportunity to extend the students understanding of </w:t>
            </w:r>
            <w:r w:rsidR="00720E44">
              <w:rPr>
                <w:b/>
              </w:rPr>
              <w:t>domain</w:t>
            </w:r>
            <w:r w:rsidR="00720E44">
              <w:t xml:space="preserve"> and </w:t>
            </w:r>
            <w:r w:rsidR="00720E44">
              <w:rPr>
                <w:b/>
              </w:rPr>
              <w:t xml:space="preserve">range </w:t>
            </w:r>
            <w:r w:rsidR="00720E44">
              <w:t xml:space="preserve">into </w:t>
            </w:r>
            <w:r w:rsidR="00A644CB">
              <w:t>trig with an opportunity to look at the graph</w:t>
            </w:r>
            <w:r w:rsidR="00B2608A">
              <w:t>s</w:t>
            </w:r>
            <w:r w:rsidR="00A644CB">
              <w:t xml:space="preserve"> of </w:t>
            </w:r>
            <m:oMath>
              <m:f>
                <m:fPr>
                  <m:ctrlPr>
                    <w:rPr>
                      <w:rFonts w:ascii="Cambria Math" w:hAnsi="Cambria Math"/>
                      <w:i/>
                    </w:rPr>
                  </m:ctrlPr>
                </m:fPr>
                <m:num>
                  <m:r>
                    <w:rPr>
                      <w:rFonts w:ascii="Cambria Math" w:hAnsi="Cambria Math"/>
                    </w:rPr>
                    <m:t>1</m:t>
                  </m:r>
                </m:num>
                <m:den>
                  <m:r>
                    <m:rPr>
                      <m:sty m:val="p"/>
                    </m:rPr>
                    <w:rPr>
                      <w:rFonts w:ascii="Cambria Math" w:hAnsi="Cambria Math"/>
                    </w:rPr>
                    <m:t>sin⁡</m:t>
                  </m:r>
                  <m:r>
                    <w:rPr>
                      <w:rFonts w:ascii="Cambria Math" w:hAnsi="Cambria Math"/>
                    </w:rPr>
                    <m:t>(x)</m:t>
                  </m:r>
                </m:den>
              </m:f>
            </m:oMath>
            <w:r w:rsidR="00B2608A">
              <w:rPr>
                <w:rFonts w:eastAsiaTheme="minorEastAsia"/>
              </w:rPr>
              <w:t xml:space="preserve"> and arcsin.</w:t>
            </w:r>
          </w:p>
          <w:p w:rsidR="00AE4E93" w:rsidRPr="00AE4E93" w:rsidRDefault="00143101" w:rsidP="00A644CB">
            <w:pPr>
              <w:rPr>
                <w:rFonts w:eastAsiaTheme="minorEastAsia"/>
              </w:rPr>
            </w:pPr>
            <w:hyperlink r:id="rId15" w:history="1">
              <w:proofErr w:type="spellStart"/>
              <w:r w:rsidR="00AE4E93" w:rsidRPr="00AE4E93">
                <w:rPr>
                  <w:rStyle w:val="Hyperlink"/>
                  <w:rFonts w:eastAsiaTheme="minorEastAsia"/>
                </w:rPr>
                <w:t>KM</w:t>
              </w:r>
              <w:proofErr w:type="gramStart"/>
              <w:r w:rsidR="00AE4E93" w:rsidRPr="00AE4E93">
                <w:rPr>
                  <w:rStyle w:val="Hyperlink"/>
                  <w:rFonts w:eastAsiaTheme="minorEastAsia"/>
                </w:rPr>
                <w:t>:Graphing</w:t>
              </w:r>
              <w:proofErr w:type="spellEnd"/>
              <w:proofErr w:type="gramEnd"/>
              <w:r w:rsidR="00AE4E93" w:rsidRPr="00AE4E93">
                <w:rPr>
                  <w:rStyle w:val="Hyperlink"/>
                  <w:rFonts w:eastAsiaTheme="minorEastAsia"/>
                </w:rPr>
                <w:t xml:space="preserve"> the Inverse sine function</w:t>
              </w:r>
            </w:hyperlink>
            <w:r w:rsidR="00AE4E93">
              <w:rPr>
                <w:rFonts w:eastAsiaTheme="minorEastAsia"/>
              </w:rPr>
              <w:t xml:space="preserve"> provides a guided activity which can then be extended with other trig functions.</w:t>
            </w:r>
          </w:p>
          <w:p w:rsidR="00A644CB" w:rsidRPr="00720E44" w:rsidRDefault="00A644CB" w:rsidP="00A644CB">
            <w:r>
              <w:rPr>
                <w:rFonts w:eastAsiaTheme="minorEastAsia"/>
              </w:rPr>
              <w:t xml:space="preserve">With this under their belt and strategies for identifying key points on a graph this is an opportunity for the students to graph the other functions and their inverses, creating their own matching card revision activity to share with other students in the class. </w:t>
            </w:r>
          </w:p>
        </w:tc>
        <w:tc>
          <w:tcPr>
            <w:tcW w:w="3227" w:type="dxa"/>
          </w:tcPr>
          <w:p w:rsidR="009537B6" w:rsidRPr="00D06B39" w:rsidRDefault="00A644CB" w:rsidP="003832B0">
            <w:r>
              <w:t xml:space="preserve">As an extension, the activity can be linked with transformations of graphs, with functions such as </w:t>
            </w:r>
            <m:oMath>
              <m:r>
                <w:rPr>
                  <w:rFonts w:ascii="Cambria Math" w:hAnsi="Cambria Math"/>
                </w:rPr>
                <m:t>cosec(θ+π)</m:t>
              </m:r>
            </m:oMath>
          </w:p>
        </w:tc>
        <w:tc>
          <w:tcPr>
            <w:tcW w:w="3402" w:type="dxa"/>
          </w:tcPr>
          <w:p w:rsidR="009537B6" w:rsidRDefault="003832B0" w:rsidP="00967A45">
            <w:r w:rsidRPr="003832B0">
              <w:t>Completion of revision cards to allow for peer review at the start of next lesson (to check for accuracy)</w:t>
            </w:r>
          </w:p>
          <w:p w:rsidR="00B2608A" w:rsidRPr="003832B0" w:rsidRDefault="00B2608A" w:rsidP="00967A45">
            <w:pPr>
              <w:rPr>
                <w:color w:val="E36C0A" w:themeColor="accent6" w:themeShade="BF"/>
              </w:rPr>
            </w:pPr>
            <w:r>
              <w:t>If students are able to, then working electronically will help both with the sharing of the resources produced and with reviewing some of them the next lesson.</w:t>
            </w:r>
          </w:p>
        </w:tc>
      </w:tr>
      <w:tr w:rsidR="00D9213D" w:rsidRPr="006B4FC2" w:rsidTr="000D1D91">
        <w:tc>
          <w:tcPr>
            <w:tcW w:w="392" w:type="dxa"/>
          </w:tcPr>
          <w:p w:rsidR="00D9213D" w:rsidRPr="009537B6" w:rsidRDefault="00D9213D" w:rsidP="000D1D91">
            <w:pPr>
              <w:rPr>
                <w:b/>
                <w:sz w:val="28"/>
              </w:rPr>
            </w:pPr>
          </w:p>
        </w:tc>
        <w:tc>
          <w:tcPr>
            <w:tcW w:w="2268" w:type="dxa"/>
          </w:tcPr>
          <w:p w:rsidR="00D9213D" w:rsidRPr="006B4FC2" w:rsidRDefault="00D9213D" w:rsidP="000D1D91">
            <w:pPr>
              <w:rPr>
                <w:b/>
                <w:sz w:val="28"/>
              </w:rPr>
            </w:pPr>
            <w:r w:rsidRPr="006B4FC2">
              <w:rPr>
                <w:b/>
                <w:sz w:val="28"/>
              </w:rPr>
              <w:t>Starter</w:t>
            </w:r>
          </w:p>
        </w:tc>
        <w:tc>
          <w:tcPr>
            <w:tcW w:w="5812" w:type="dxa"/>
          </w:tcPr>
          <w:p w:rsidR="00D9213D" w:rsidRPr="006B4FC2" w:rsidRDefault="00D9213D" w:rsidP="000D1D91">
            <w:pPr>
              <w:rPr>
                <w:b/>
                <w:sz w:val="28"/>
              </w:rPr>
            </w:pPr>
            <w:r w:rsidRPr="006B4FC2">
              <w:rPr>
                <w:b/>
                <w:sz w:val="28"/>
              </w:rPr>
              <w:t>Main teaching</w:t>
            </w:r>
          </w:p>
          <w:p w:rsidR="00D9213D" w:rsidRPr="006B4FC2" w:rsidRDefault="00D9213D" w:rsidP="000D1D91">
            <w:r w:rsidRPr="006B4FC2">
              <w:t>Including key questions, key teaching points, models and resources</w:t>
            </w:r>
          </w:p>
        </w:tc>
        <w:tc>
          <w:tcPr>
            <w:tcW w:w="3227" w:type="dxa"/>
          </w:tcPr>
          <w:p w:rsidR="00D9213D" w:rsidRPr="006B4FC2" w:rsidRDefault="00D9213D" w:rsidP="000D1D91">
            <w:pPr>
              <w:rPr>
                <w:b/>
                <w:sz w:val="28"/>
              </w:rPr>
            </w:pPr>
            <w:r w:rsidRPr="006B4FC2">
              <w:rPr>
                <w:b/>
                <w:sz w:val="28"/>
              </w:rPr>
              <w:t>Notes</w:t>
            </w:r>
          </w:p>
          <w:p w:rsidR="00D9213D" w:rsidRPr="006B4FC2" w:rsidRDefault="00D9213D" w:rsidP="000D1D91">
            <w:r w:rsidRPr="006B4FC2">
              <w:t>Including Support and Extension</w:t>
            </w:r>
          </w:p>
        </w:tc>
        <w:tc>
          <w:tcPr>
            <w:tcW w:w="3402" w:type="dxa"/>
          </w:tcPr>
          <w:p w:rsidR="00D9213D" w:rsidRPr="006B4FC2" w:rsidRDefault="00D9213D" w:rsidP="000D1D91">
            <w:pPr>
              <w:rPr>
                <w:b/>
                <w:sz w:val="28"/>
              </w:rPr>
            </w:pPr>
            <w:r>
              <w:rPr>
                <w:b/>
                <w:sz w:val="28"/>
              </w:rPr>
              <w:t>Consolidation/Plenary</w:t>
            </w:r>
          </w:p>
          <w:p w:rsidR="00D9213D" w:rsidRPr="006B4FC2" w:rsidRDefault="00D9213D" w:rsidP="000D1D91">
            <w:r w:rsidRPr="006B4FC2">
              <w:t>Including key questions and homework</w:t>
            </w:r>
          </w:p>
        </w:tc>
      </w:tr>
      <w:tr w:rsidR="00396326" w:rsidRPr="006B4FC2" w:rsidTr="009537B6">
        <w:tc>
          <w:tcPr>
            <w:tcW w:w="392" w:type="dxa"/>
          </w:tcPr>
          <w:p w:rsidR="00396326" w:rsidRDefault="00396326" w:rsidP="00080939">
            <w:pPr>
              <w:rPr>
                <w:b/>
              </w:rPr>
            </w:pPr>
            <w:r>
              <w:rPr>
                <w:b/>
              </w:rPr>
              <w:t>3</w:t>
            </w:r>
          </w:p>
        </w:tc>
        <w:tc>
          <w:tcPr>
            <w:tcW w:w="2268" w:type="dxa"/>
          </w:tcPr>
          <w:p w:rsidR="00396326" w:rsidRDefault="00396326" w:rsidP="00967A45"/>
          <w:p w:rsidR="00396326" w:rsidRDefault="00B2608A" w:rsidP="00967A45">
            <w:r>
              <w:t>Review of revision cards, either physically or through whole class looking at them on an IWB for example.</w:t>
            </w:r>
          </w:p>
          <w:p w:rsidR="00396326" w:rsidRDefault="00396326" w:rsidP="00967A45"/>
          <w:p w:rsidR="00396326" w:rsidRDefault="00396326" w:rsidP="00967A45"/>
          <w:p w:rsidR="00396326" w:rsidRDefault="00396326" w:rsidP="00967A45"/>
          <w:p w:rsidR="00396326" w:rsidRDefault="00396326" w:rsidP="00967A45"/>
          <w:p w:rsidR="00396326" w:rsidRDefault="00396326" w:rsidP="00967A45"/>
          <w:p w:rsidR="00396326" w:rsidRPr="006B4FC2" w:rsidRDefault="00396326" w:rsidP="00967A45"/>
        </w:tc>
        <w:tc>
          <w:tcPr>
            <w:tcW w:w="5812" w:type="dxa"/>
          </w:tcPr>
          <w:p w:rsidR="00396326" w:rsidRDefault="00B2608A" w:rsidP="009427DD">
            <w:r>
              <w:t xml:space="preserve">Given the students awareness of what sec(x), cosec(x) and cotangent(x) are from previous lesson, </w:t>
            </w:r>
            <w:r w:rsidR="00A3104C">
              <w:t>now is the time to develop the identities used and to apply them to problems.</w:t>
            </w:r>
          </w:p>
          <w:p w:rsidR="00A3104C" w:rsidRDefault="00143101" w:rsidP="00A3104C">
            <w:hyperlink r:id="rId16" w:history="1">
              <w:r w:rsidR="00AE4E93">
                <w:rPr>
                  <w:rStyle w:val="Hyperlink"/>
                </w:rPr>
                <w:t>MEI: Sometimes, Always, Never</w:t>
              </w:r>
            </w:hyperlink>
            <w:r w:rsidR="00A3104C">
              <w:t xml:space="preserve"> cards can be used to test ‘special’ values to see if they are Sometimes or Never but the derivation of the identities is needed for the Always category.</w:t>
            </w:r>
          </w:p>
          <w:p w:rsidR="00986FA9" w:rsidRPr="00B2608A" w:rsidRDefault="00986FA9" w:rsidP="00A3104C"/>
        </w:tc>
        <w:tc>
          <w:tcPr>
            <w:tcW w:w="3227" w:type="dxa"/>
          </w:tcPr>
          <w:p w:rsidR="00396326" w:rsidRDefault="00BE7A88" w:rsidP="00BE7A88">
            <w:r>
              <w:t>All students should be able to derive some of the identities, try not to let any freeload given that they will all see all the proofs by the end of the lesson!</w:t>
            </w:r>
          </w:p>
          <w:p w:rsidR="00BE7A88" w:rsidRPr="00D06B39" w:rsidRDefault="00BE7A88" w:rsidP="00BE7A88">
            <w:r>
              <w:t xml:space="preserve">Starting the proof section with </w:t>
            </w:r>
            <m:oMath>
              <m:sSup>
                <m:sSupPr>
                  <m:ctrlPr>
                    <w:rPr>
                      <w:rFonts w:ascii="Cambria Math" w:hAnsi="Cambria Math"/>
                      <w:i/>
                    </w:rPr>
                  </m:ctrlPr>
                </m:sSupPr>
                <m:e>
                  <m:r>
                    <w:rPr>
                      <w:rFonts w:ascii="Cambria Math" w:hAnsi="Cambria Math"/>
                    </w:rPr>
                    <m:t>sin</m:t>
                  </m:r>
                </m:e>
                <m:sup>
                  <m:r>
                    <w:rPr>
                      <w:rFonts w:ascii="Cambria Math" w:hAnsi="Cambria Math"/>
                    </w:rPr>
                    <m:t>2</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cos</m:t>
                  </m:r>
                </m:e>
                <m:sup>
                  <m:r>
                    <w:rPr>
                      <w:rFonts w:ascii="Cambria Math" w:hAnsi="Cambria Math"/>
                    </w:rPr>
                    <m:t>2</m:t>
                  </m:r>
                </m:sup>
              </m:sSup>
              <m:d>
                <m:dPr>
                  <m:ctrlPr>
                    <w:rPr>
                      <w:rFonts w:ascii="Cambria Math" w:hAnsi="Cambria Math"/>
                      <w:i/>
                    </w:rPr>
                  </m:ctrlPr>
                </m:dPr>
                <m:e>
                  <m:r>
                    <w:rPr>
                      <w:rFonts w:ascii="Cambria Math" w:hAnsi="Cambria Math"/>
                    </w:rPr>
                    <m:t>x</m:t>
                  </m:r>
                </m:e>
              </m:d>
              <m:r>
                <w:rPr>
                  <w:rFonts w:ascii="Cambria Math" w:hAnsi="Cambria Math"/>
                </w:rPr>
                <m:t>=1</m:t>
              </m:r>
            </m:oMath>
            <w:r>
              <w:rPr>
                <w:rFonts w:eastAsiaTheme="minorEastAsia"/>
              </w:rPr>
              <w:t xml:space="preserve"> might be a nice easy entry to trigonometric proof.</w:t>
            </w:r>
          </w:p>
        </w:tc>
        <w:tc>
          <w:tcPr>
            <w:tcW w:w="3402" w:type="dxa"/>
          </w:tcPr>
          <w:p w:rsidR="00396326" w:rsidRPr="00631313" w:rsidRDefault="00396326" w:rsidP="00967A45">
            <w:pPr>
              <w:rPr>
                <w:b/>
                <w:color w:val="E36C0A" w:themeColor="accent6" w:themeShade="BF"/>
              </w:rPr>
            </w:pPr>
          </w:p>
        </w:tc>
      </w:tr>
      <w:tr w:rsidR="009537B6" w:rsidRPr="006B4FC2" w:rsidTr="009537B6">
        <w:tc>
          <w:tcPr>
            <w:tcW w:w="392" w:type="dxa"/>
          </w:tcPr>
          <w:p w:rsidR="009537B6" w:rsidRPr="009537B6" w:rsidRDefault="00396326" w:rsidP="00967A45">
            <w:pPr>
              <w:rPr>
                <w:b/>
              </w:rPr>
            </w:pPr>
            <w:r>
              <w:rPr>
                <w:b/>
              </w:rPr>
              <w:t>4</w:t>
            </w:r>
          </w:p>
        </w:tc>
        <w:tc>
          <w:tcPr>
            <w:tcW w:w="2268" w:type="dxa"/>
          </w:tcPr>
          <w:p w:rsidR="00986FA9" w:rsidRDefault="00986FA9" w:rsidP="00967A45">
            <w:r>
              <w:t>Extending the identity work from last lesson:</w:t>
            </w:r>
          </w:p>
          <w:p w:rsidR="00396326" w:rsidRDefault="00986FA9" w:rsidP="00967A45">
            <w:proofErr w:type="spellStart"/>
            <w:r>
              <w:t>KM:</w:t>
            </w:r>
            <w:hyperlink r:id="rId17" w:history="1">
              <w:r w:rsidRPr="00986FA9">
                <w:rPr>
                  <w:rStyle w:val="Hyperlink"/>
                </w:rPr>
                <w:t>Trio</w:t>
              </w:r>
              <w:proofErr w:type="spellEnd"/>
            </w:hyperlink>
          </w:p>
          <w:p w:rsidR="00396326" w:rsidRDefault="00396326" w:rsidP="00967A45"/>
          <w:p w:rsidR="00396326" w:rsidRDefault="00396326" w:rsidP="00967A45"/>
          <w:p w:rsidR="00396326" w:rsidRPr="006B4FC2" w:rsidRDefault="00396326" w:rsidP="00967A45"/>
        </w:tc>
        <w:tc>
          <w:tcPr>
            <w:tcW w:w="5812" w:type="dxa"/>
          </w:tcPr>
          <w:p w:rsidR="009537B6" w:rsidRDefault="00AE4E93" w:rsidP="009427DD">
            <w:r>
              <w:t>Constructing proofs of trig identities involving the six trig ratios</w:t>
            </w:r>
            <w:r w:rsidR="00F71AF7">
              <w:t xml:space="preserve">, using matching task </w:t>
            </w:r>
            <w:hyperlink r:id="rId18" w:history="1">
              <w:r w:rsidR="00F71AF7">
                <w:rPr>
                  <w:rStyle w:val="Hyperlink"/>
                </w:rPr>
                <w:t>KM: Matching Trig</w:t>
              </w:r>
            </w:hyperlink>
            <w:r w:rsidR="00F71AF7">
              <w:t xml:space="preserve"> </w:t>
            </w:r>
          </w:p>
          <w:p w:rsidR="00DD511A" w:rsidRDefault="00DD511A" w:rsidP="009427DD"/>
          <w:p w:rsidR="00DD511A" w:rsidRDefault="00DD511A" w:rsidP="009427DD">
            <w:r>
              <w:t xml:space="preserve">Similar </w:t>
            </w:r>
            <w:proofErr w:type="spellStart"/>
            <w:r>
              <w:t>Tarsia</w:t>
            </w:r>
            <w:proofErr w:type="spellEnd"/>
            <w:r>
              <w:t xml:space="preserve"> activity – a bit more meaty from Integral website  -</w:t>
            </w:r>
            <w:hyperlink r:id="rId19" w:history="1">
              <w:r w:rsidRPr="00DD511A">
                <w:rPr>
                  <w:rStyle w:val="Hyperlink"/>
                </w:rPr>
                <w:t>Trig identities Hexagon</w:t>
              </w:r>
            </w:hyperlink>
          </w:p>
          <w:p w:rsidR="00DD511A" w:rsidRPr="009427DD" w:rsidRDefault="00DD511A" w:rsidP="009427DD"/>
        </w:tc>
        <w:tc>
          <w:tcPr>
            <w:tcW w:w="3227" w:type="dxa"/>
          </w:tcPr>
          <w:p w:rsidR="009537B6" w:rsidRPr="00584002" w:rsidRDefault="009537B6" w:rsidP="00967A45"/>
        </w:tc>
        <w:tc>
          <w:tcPr>
            <w:tcW w:w="3402" w:type="dxa"/>
          </w:tcPr>
          <w:p w:rsidR="00DC3AE9" w:rsidRDefault="00DC3AE9" w:rsidP="00DC3AE9">
            <w:r w:rsidRPr="00584002">
              <w:t xml:space="preserve">Links to </w:t>
            </w:r>
            <w:r>
              <w:t>past exam questions from Physics and Maths Tutor.</w:t>
            </w:r>
          </w:p>
          <w:p w:rsidR="00DC3AE9" w:rsidRDefault="00DC3AE9" w:rsidP="00DC3AE9">
            <w:r>
              <w:t>MEI used but other boards available</w:t>
            </w:r>
          </w:p>
          <w:p w:rsidR="00DC3AE9" w:rsidRDefault="00DC3AE9" w:rsidP="00DC3AE9"/>
          <w:p w:rsidR="00DC3AE9" w:rsidRDefault="00DC3AE9" w:rsidP="00DC3AE9"/>
          <w:p w:rsidR="00DC3AE9" w:rsidRDefault="00143101" w:rsidP="00DC3AE9">
            <w:hyperlink r:id="rId20" w:history="1">
              <w:r w:rsidR="00DC3AE9" w:rsidRPr="00415B15">
                <w:rPr>
                  <w:rStyle w:val="Hyperlink"/>
                </w:rPr>
                <w:t>Exam questions Set 1</w:t>
              </w:r>
            </w:hyperlink>
          </w:p>
          <w:p w:rsidR="00DC3AE9" w:rsidRDefault="00DC3AE9" w:rsidP="00DC3AE9"/>
          <w:p w:rsidR="00DC3AE9" w:rsidRDefault="00143101" w:rsidP="00DC3AE9">
            <w:pPr>
              <w:rPr>
                <w:rStyle w:val="Hyperlink"/>
              </w:rPr>
            </w:pPr>
            <w:hyperlink r:id="rId21" w:history="1">
              <w:r w:rsidR="00DC3AE9" w:rsidRPr="00415B15">
                <w:rPr>
                  <w:rStyle w:val="Hyperlink"/>
                </w:rPr>
                <w:t>Exam questions Set 2</w:t>
              </w:r>
            </w:hyperlink>
          </w:p>
          <w:p w:rsidR="00DC3AE9" w:rsidRDefault="00DC3AE9" w:rsidP="00DC3AE9"/>
          <w:p w:rsidR="00DC3AE9" w:rsidRDefault="00DC3AE9" w:rsidP="00DC3AE9">
            <w:r>
              <w:t>MS available here:</w:t>
            </w:r>
          </w:p>
          <w:p w:rsidR="00DC3AE9" w:rsidRDefault="00143101" w:rsidP="00DC3AE9">
            <w:hyperlink r:id="rId22" w:history="1">
              <w:r w:rsidR="00DC3AE9" w:rsidRPr="00415B15">
                <w:rPr>
                  <w:rStyle w:val="Hyperlink"/>
                </w:rPr>
                <w:t>MS Set 1</w:t>
              </w:r>
            </w:hyperlink>
          </w:p>
          <w:p w:rsidR="00DC3AE9" w:rsidRDefault="00143101" w:rsidP="00DC3AE9">
            <w:hyperlink r:id="rId23" w:history="1">
              <w:r w:rsidR="00DC3AE9" w:rsidRPr="00415B15">
                <w:rPr>
                  <w:rStyle w:val="Hyperlink"/>
                </w:rPr>
                <w:t>MS Set 2</w:t>
              </w:r>
            </w:hyperlink>
          </w:p>
          <w:p w:rsidR="009537B6" w:rsidRPr="009427DD" w:rsidRDefault="009537B6" w:rsidP="00967A45"/>
        </w:tc>
      </w:tr>
    </w:tbl>
    <w:p w:rsidR="003E7F1D" w:rsidRPr="006B4FC2" w:rsidRDefault="003E7F1D" w:rsidP="00D61130">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01" w:rsidRDefault="00143101" w:rsidP="00FD7BFE">
      <w:r>
        <w:separator/>
      </w:r>
    </w:p>
  </w:endnote>
  <w:endnote w:type="continuationSeparator" w:id="0">
    <w:p w:rsidR="00143101" w:rsidRDefault="00143101"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9" w:rsidRDefault="00790699" w:rsidP="007C4293">
    <w:pPr>
      <w:pStyle w:val="Footer"/>
      <w:tabs>
        <w:tab w:val="left" w:pos="3299"/>
      </w:tabs>
    </w:pPr>
    <w:r>
      <w:tab/>
    </w:r>
    <w:r w:rsidR="007C4293">
      <w:tab/>
    </w:r>
    <w:r w:rsidR="00DE1004" w:rsidRPr="00472C11">
      <w:rPr>
        <w:rStyle w:val="PageNumber"/>
      </w:rPr>
      <w:fldChar w:fldCharType="begin"/>
    </w:r>
    <w:r w:rsidRPr="00472C11">
      <w:rPr>
        <w:rStyle w:val="PageNumber"/>
      </w:rPr>
      <w:instrText xml:space="preserve"> PAGE </w:instrText>
    </w:r>
    <w:r w:rsidR="00DE1004" w:rsidRPr="00472C11">
      <w:rPr>
        <w:rStyle w:val="PageNumber"/>
      </w:rPr>
      <w:fldChar w:fldCharType="separate"/>
    </w:r>
    <w:r w:rsidR="00F03C93">
      <w:rPr>
        <w:rStyle w:val="PageNumber"/>
        <w:noProof/>
      </w:rPr>
      <w:t>2</w:t>
    </w:r>
    <w:r w:rsidR="00DE1004" w:rsidRPr="00472C11">
      <w:rPr>
        <w:rStyle w:val="PageNumber"/>
      </w:rPr>
      <w:fldChar w:fldCharType="end"/>
    </w:r>
    <w:r w:rsidRPr="00472C11">
      <w:rPr>
        <w:rStyle w:val="PageNumber"/>
      </w:rPr>
      <w:t xml:space="preserve"> of </w:t>
    </w:r>
    <w:r w:rsidR="00DE1004" w:rsidRPr="00472C11">
      <w:rPr>
        <w:rStyle w:val="PageNumber"/>
      </w:rPr>
      <w:fldChar w:fldCharType="begin"/>
    </w:r>
    <w:r w:rsidRPr="00472C11">
      <w:rPr>
        <w:rStyle w:val="PageNumber"/>
      </w:rPr>
      <w:instrText xml:space="preserve"> NUMPAGES </w:instrText>
    </w:r>
    <w:r w:rsidR="00DE1004" w:rsidRPr="00472C11">
      <w:rPr>
        <w:rStyle w:val="PageNumber"/>
      </w:rPr>
      <w:fldChar w:fldCharType="separate"/>
    </w:r>
    <w:r w:rsidR="00F03C93">
      <w:rPr>
        <w:rStyle w:val="PageNumber"/>
        <w:noProof/>
      </w:rPr>
      <w:t>2</w:t>
    </w:r>
    <w:r w:rsidR="00DE1004"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F" w:rsidRDefault="00E756E3"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20C2D8FD" wp14:editId="6E0B262B">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C2D8FD"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00D7305F" w:rsidRPr="00DC176C">
      <w:rPr>
        <w:b/>
        <w:noProof/>
        <w:sz w:val="24"/>
        <w:lang w:eastAsia="en-GB"/>
      </w:rPr>
      <w:drawing>
        <wp:anchor distT="0" distB="0" distL="114300" distR="114300" simplePos="0" relativeHeight="251663360" behindDoc="0" locked="0" layoutInCell="1" allowOverlap="1" wp14:anchorId="3CC42BAB" wp14:editId="4CCC161D">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00DE1004" w:rsidRPr="00472C11">
      <w:rPr>
        <w:rStyle w:val="PageNumber"/>
      </w:rPr>
      <w:fldChar w:fldCharType="begin"/>
    </w:r>
    <w:r w:rsidR="00D7305F" w:rsidRPr="00472C11">
      <w:rPr>
        <w:rStyle w:val="PageNumber"/>
      </w:rPr>
      <w:instrText xml:space="preserve"> PAGE </w:instrText>
    </w:r>
    <w:r w:rsidR="00DE1004" w:rsidRPr="00472C11">
      <w:rPr>
        <w:rStyle w:val="PageNumber"/>
      </w:rPr>
      <w:fldChar w:fldCharType="separate"/>
    </w:r>
    <w:r w:rsidR="007C4293">
      <w:rPr>
        <w:rStyle w:val="PageNumber"/>
        <w:noProof/>
      </w:rPr>
      <w:t>1</w:t>
    </w:r>
    <w:r w:rsidR="00DE1004" w:rsidRPr="00472C11">
      <w:rPr>
        <w:rStyle w:val="PageNumber"/>
      </w:rPr>
      <w:fldChar w:fldCharType="end"/>
    </w:r>
    <w:r w:rsidR="00D7305F" w:rsidRPr="00472C11">
      <w:rPr>
        <w:rStyle w:val="PageNumber"/>
      </w:rPr>
      <w:t xml:space="preserve"> of </w:t>
    </w:r>
    <w:r w:rsidR="00DE1004" w:rsidRPr="00472C11">
      <w:rPr>
        <w:rStyle w:val="PageNumber"/>
      </w:rPr>
      <w:fldChar w:fldCharType="begin"/>
    </w:r>
    <w:r w:rsidR="00D7305F" w:rsidRPr="00472C11">
      <w:rPr>
        <w:rStyle w:val="PageNumber"/>
      </w:rPr>
      <w:instrText xml:space="preserve"> NUMPAGES </w:instrText>
    </w:r>
    <w:r w:rsidR="00DE1004" w:rsidRPr="00472C11">
      <w:rPr>
        <w:rStyle w:val="PageNumber"/>
      </w:rPr>
      <w:fldChar w:fldCharType="separate"/>
    </w:r>
    <w:r w:rsidR="00771061">
      <w:rPr>
        <w:rStyle w:val="PageNumber"/>
        <w:noProof/>
      </w:rPr>
      <w:t>2</w:t>
    </w:r>
    <w:r w:rsidR="00DE1004"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01" w:rsidRDefault="00143101" w:rsidP="00FD7BFE">
      <w:r>
        <w:separator/>
      </w:r>
    </w:p>
  </w:footnote>
  <w:footnote w:type="continuationSeparator" w:id="0">
    <w:p w:rsidR="00143101" w:rsidRDefault="00143101"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5"/>
  </w:num>
  <w:num w:numId="4">
    <w:abstractNumId w:val="0"/>
  </w:num>
  <w:num w:numId="5">
    <w:abstractNumId w:val="16"/>
  </w:num>
  <w:num w:numId="6">
    <w:abstractNumId w:val="13"/>
  </w:num>
  <w:num w:numId="7">
    <w:abstractNumId w:val="12"/>
  </w:num>
  <w:num w:numId="8">
    <w:abstractNumId w:val="4"/>
  </w:num>
  <w:num w:numId="9">
    <w:abstractNumId w:val="10"/>
  </w:num>
  <w:num w:numId="10">
    <w:abstractNumId w:val="3"/>
  </w:num>
  <w:num w:numId="11">
    <w:abstractNumId w:val="5"/>
  </w:num>
  <w:num w:numId="12">
    <w:abstractNumId w:val="8"/>
  </w:num>
  <w:num w:numId="13">
    <w:abstractNumId w:val="9"/>
  </w:num>
  <w:num w:numId="14">
    <w:abstractNumId w:val="18"/>
  </w:num>
  <w:num w:numId="15">
    <w:abstractNumId w:val="21"/>
  </w:num>
  <w:num w:numId="16">
    <w:abstractNumId w:val="14"/>
  </w:num>
  <w:num w:numId="17">
    <w:abstractNumId w:val="11"/>
  </w:num>
  <w:num w:numId="18">
    <w:abstractNumId w:val="1"/>
  </w:num>
  <w:num w:numId="19">
    <w:abstractNumId w:val="2"/>
  </w:num>
  <w:num w:numId="20">
    <w:abstractNumId w:val="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33DB7"/>
    <w:rsid w:val="00046BDF"/>
    <w:rsid w:val="00051FBB"/>
    <w:rsid w:val="00072BD3"/>
    <w:rsid w:val="00075173"/>
    <w:rsid w:val="00080939"/>
    <w:rsid w:val="000815B4"/>
    <w:rsid w:val="00090A54"/>
    <w:rsid w:val="000A3D2B"/>
    <w:rsid w:val="000D4D64"/>
    <w:rsid w:val="000F2B6F"/>
    <w:rsid w:val="000F3F19"/>
    <w:rsid w:val="00100074"/>
    <w:rsid w:val="00113800"/>
    <w:rsid w:val="00143101"/>
    <w:rsid w:val="0015110A"/>
    <w:rsid w:val="00160C9F"/>
    <w:rsid w:val="00164150"/>
    <w:rsid w:val="00190982"/>
    <w:rsid w:val="001961FB"/>
    <w:rsid w:val="001D0C1F"/>
    <w:rsid w:val="001F046C"/>
    <w:rsid w:val="002152B1"/>
    <w:rsid w:val="0023574A"/>
    <w:rsid w:val="00252CE5"/>
    <w:rsid w:val="0027124D"/>
    <w:rsid w:val="00286CAE"/>
    <w:rsid w:val="00293A94"/>
    <w:rsid w:val="0029714F"/>
    <w:rsid w:val="002A18AE"/>
    <w:rsid w:val="002A3880"/>
    <w:rsid w:val="002B2679"/>
    <w:rsid w:val="002B3A85"/>
    <w:rsid w:val="002D3ECB"/>
    <w:rsid w:val="003068E2"/>
    <w:rsid w:val="00313295"/>
    <w:rsid w:val="003211AE"/>
    <w:rsid w:val="00327C2A"/>
    <w:rsid w:val="00356F3F"/>
    <w:rsid w:val="00357014"/>
    <w:rsid w:val="00377EF8"/>
    <w:rsid w:val="003832B0"/>
    <w:rsid w:val="00392FE7"/>
    <w:rsid w:val="00396326"/>
    <w:rsid w:val="003B3572"/>
    <w:rsid w:val="003C7AC9"/>
    <w:rsid w:val="003E7F1D"/>
    <w:rsid w:val="003F6F84"/>
    <w:rsid w:val="00415B15"/>
    <w:rsid w:val="00425181"/>
    <w:rsid w:val="00455E5C"/>
    <w:rsid w:val="004631DE"/>
    <w:rsid w:val="00473807"/>
    <w:rsid w:val="004E2CE7"/>
    <w:rsid w:val="004E3C23"/>
    <w:rsid w:val="004F61CD"/>
    <w:rsid w:val="00501BA7"/>
    <w:rsid w:val="00521613"/>
    <w:rsid w:val="005417D9"/>
    <w:rsid w:val="00564495"/>
    <w:rsid w:val="00573434"/>
    <w:rsid w:val="005823C9"/>
    <w:rsid w:val="00584002"/>
    <w:rsid w:val="00597F2A"/>
    <w:rsid w:val="005B56D6"/>
    <w:rsid w:val="00601AE0"/>
    <w:rsid w:val="00605847"/>
    <w:rsid w:val="00612FC7"/>
    <w:rsid w:val="006242F2"/>
    <w:rsid w:val="00631313"/>
    <w:rsid w:val="00635FFF"/>
    <w:rsid w:val="00641984"/>
    <w:rsid w:val="00644875"/>
    <w:rsid w:val="006702C1"/>
    <w:rsid w:val="0067069C"/>
    <w:rsid w:val="00681604"/>
    <w:rsid w:val="00694002"/>
    <w:rsid w:val="006B4FC2"/>
    <w:rsid w:val="006E5234"/>
    <w:rsid w:val="00720E44"/>
    <w:rsid w:val="00722900"/>
    <w:rsid w:val="007350DA"/>
    <w:rsid w:val="0073718C"/>
    <w:rsid w:val="00751F0D"/>
    <w:rsid w:val="00761865"/>
    <w:rsid w:val="00771061"/>
    <w:rsid w:val="00773E26"/>
    <w:rsid w:val="00782CA3"/>
    <w:rsid w:val="00790699"/>
    <w:rsid w:val="007A4EA3"/>
    <w:rsid w:val="007C4293"/>
    <w:rsid w:val="007C7D66"/>
    <w:rsid w:val="007E3558"/>
    <w:rsid w:val="007E5F62"/>
    <w:rsid w:val="007F514C"/>
    <w:rsid w:val="00803B5B"/>
    <w:rsid w:val="008329AE"/>
    <w:rsid w:val="00835FBC"/>
    <w:rsid w:val="0086132B"/>
    <w:rsid w:val="00883890"/>
    <w:rsid w:val="008857DD"/>
    <w:rsid w:val="0089070A"/>
    <w:rsid w:val="00897D57"/>
    <w:rsid w:val="008B007C"/>
    <w:rsid w:val="008B61B4"/>
    <w:rsid w:val="008D28EB"/>
    <w:rsid w:val="008E21C4"/>
    <w:rsid w:val="008E5C12"/>
    <w:rsid w:val="008F4FF1"/>
    <w:rsid w:val="00925C4C"/>
    <w:rsid w:val="00931099"/>
    <w:rsid w:val="009427DD"/>
    <w:rsid w:val="009537B6"/>
    <w:rsid w:val="00957D9D"/>
    <w:rsid w:val="009633B1"/>
    <w:rsid w:val="00965BA2"/>
    <w:rsid w:val="00976717"/>
    <w:rsid w:val="009844D8"/>
    <w:rsid w:val="00986FA9"/>
    <w:rsid w:val="009D3D51"/>
    <w:rsid w:val="009F484B"/>
    <w:rsid w:val="00A071B0"/>
    <w:rsid w:val="00A1530D"/>
    <w:rsid w:val="00A22A46"/>
    <w:rsid w:val="00A3104C"/>
    <w:rsid w:val="00A52F14"/>
    <w:rsid w:val="00A55639"/>
    <w:rsid w:val="00A6107D"/>
    <w:rsid w:val="00A644CB"/>
    <w:rsid w:val="00A77ABF"/>
    <w:rsid w:val="00A92B46"/>
    <w:rsid w:val="00A9397C"/>
    <w:rsid w:val="00AC6F3A"/>
    <w:rsid w:val="00AD1CDD"/>
    <w:rsid w:val="00AD5C4D"/>
    <w:rsid w:val="00AE4E93"/>
    <w:rsid w:val="00AF7B3E"/>
    <w:rsid w:val="00B00C19"/>
    <w:rsid w:val="00B00D63"/>
    <w:rsid w:val="00B23758"/>
    <w:rsid w:val="00B24FA8"/>
    <w:rsid w:val="00B2608A"/>
    <w:rsid w:val="00B6792B"/>
    <w:rsid w:val="00B80079"/>
    <w:rsid w:val="00B8623E"/>
    <w:rsid w:val="00BA09CE"/>
    <w:rsid w:val="00BB7D20"/>
    <w:rsid w:val="00BE4200"/>
    <w:rsid w:val="00BE7A88"/>
    <w:rsid w:val="00C27154"/>
    <w:rsid w:val="00C4113B"/>
    <w:rsid w:val="00C4369C"/>
    <w:rsid w:val="00C519E4"/>
    <w:rsid w:val="00C5253D"/>
    <w:rsid w:val="00C66EAF"/>
    <w:rsid w:val="00C82BD1"/>
    <w:rsid w:val="00C8753A"/>
    <w:rsid w:val="00CA7B28"/>
    <w:rsid w:val="00CB59AF"/>
    <w:rsid w:val="00CC33B3"/>
    <w:rsid w:val="00CF58E0"/>
    <w:rsid w:val="00D02CF6"/>
    <w:rsid w:val="00D06B39"/>
    <w:rsid w:val="00D21722"/>
    <w:rsid w:val="00D45FA5"/>
    <w:rsid w:val="00D51DDC"/>
    <w:rsid w:val="00D60385"/>
    <w:rsid w:val="00D61130"/>
    <w:rsid w:val="00D7305F"/>
    <w:rsid w:val="00D9213D"/>
    <w:rsid w:val="00D94E31"/>
    <w:rsid w:val="00DA732D"/>
    <w:rsid w:val="00DB69C6"/>
    <w:rsid w:val="00DC176C"/>
    <w:rsid w:val="00DC3AE9"/>
    <w:rsid w:val="00DD0CF7"/>
    <w:rsid w:val="00DD511A"/>
    <w:rsid w:val="00DE1004"/>
    <w:rsid w:val="00DF2A2F"/>
    <w:rsid w:val="00E040AE"/>
    <w:rsid w:val="00E0741D"/>
    <w:rsid w:val="00E07B49"/>
    <w:rsid w:val="00E11A86"/>
    <w:rsid w:val="00E34D5E"/>
    <w:rsid w:val="00E46D57"/>
    <w:rsid w:val="00E756E3"/>
    <w:rsid w:val="00E82505"/>
    <w:rsid w:val="00E90E12"/>
    <w:rsid w:val="00EC3A18"/>
    <w:rsid w:val="00EE51CC"/>
    <w:rsid w:val="00EF5A06"/>
    <w:rsid w:val="00F03C93"/>
    <w:rsid w:val="00F25C65"/>
    <w:rsid w:val="00F35187"/>
    <w:rsid w:val="00F43B8A"/>
    <w:rsid w:val="00F5147E"/>
    <w:rsid w:val="00F71AF7"/>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97F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97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i.org.uk/files/sow/26-trigonometric-functions-res.pdf" TargetMode="External"/><Relationship Id="rId18" Type="http://schemas.openxmlformats.org/officeDocument/2006/relationships/hyperlink" Target="http://www.kangaroomaths.com/free_resources/ks5/resources/session8/thefamilyof6/matchtrig.xls" TargetMode="External"/><Relationship Id="rId3" Type="http://schemas.openxmlformats.org/officeDocument/2006/relationships/styles" Target="styles.xml"/><Relationship Id="rId21" Type="http://schemas.openxmlformats.org/officeDocument/2006/relationships/hyperlink" Target="http://pmt.physicsandmathstutor.com/download/Maths/A-level/C4/Topic-Qs/OCR-MEI/C4%20Trigonometry%20-%20Identities%20&amp;%20Functions%20-%20sec,%20cosec,%20cot%202%20QP.pdf" TargetMode="External"/><Relationship Id="rId7" Type="http://schemas.openxmlformats.org/officeDocument/2006/relationships/footnotes" Target="footnotes.xml"/><Relationship Id="rId12" Type="http://schemas.openxmlformats.org/officeDocument/2006/relationships/hyperlink" Target="https://www.geogebra.org/m/Qz4Ucsja" TargetMode="External"/><Relationship Id="rId17" Type="http://schemas.openxmlformats.org/officeDocument/2006/relationships/hyperlink" Target="http://www.kangaroomaths.com/free_resources/ks5/resources/session8/thefamilyof6/tri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i.org.uk/files/sow/26-trignometric-functions-res.pdf" TargetMode="External"/><Relationship Id="rId20" Type="http://schemas.openxmlformats.org/officeDocument/2006/relationships/hyperlink" Target="http://pmt.physicsandmathstutor.com/download/Maths/A-level/C4/Topic-Qs/OCR-MEI/C4%20Trigonometry%20-%20Identities%20&amp;%20Functions%20-%20sec,%20cosec,%20cot%201%20QP.p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groundmathematics.org/trigonometry-triangles-to-functions/going-round-in-circl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angaroomaths.com/free_resources/ks5/resources/session8/thefamilyof6/theinversesinefunctionautograph.doc" TargetMode="External"/><Relationship Id="rId23" Type="http://schemas.openxmlformats.org/officeDocument/2006/relationships/hyperlink" Target="http://pmt.physicsandmathstutor.com/download/Maths/A-level/C4/Topic-Qs/OCR-MEI/C4%20Trigonometry%20-%20Identities%20&amp;%20Functions%20-%20sec,%20cosec,%20cot%202%20MS.pdf" TargetMode="External"/><Relationship Id="rId10" Type="http://schemas.openxmlformats.org/officeDocument/2006/relationships/footer" Target="footer2.xml"/><Relationship Id="rId19" Type="http://schemas.openxmlformats.org/officeDocument/2006/relationships/hyperlink" Target="https://2017.integralmaths.org/pluginfile.php/13790/mod_book/chapter/437/Trigidentities1HexJig.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ndergroundmathematics.org/trigonometry-triangles-to-functions/muddled-trig" TargetMode="External"/><Relationship Id="rId22" Type="http://schemas.openxmlformats.org/officeDocument/2006/relationships/hyperlink" Target="http://pmt.physicsandmathstutor.com/download/Maths/A-level/C4/Topic-Qs/OCR-MEI/C4%20Trigonometry%20-%20Identities%20&amp;%20Functions%20-%20sec,%20cosec,%20cot%201%20MS.pdfhttp:/pmt.physicsandmathstutor.com/download/Maths/A-level/C4/Topic-Qs/OCR-MEI/C4%20Trigonometry%20-%20Identities%20&amp;%20Functions%20-%20sec,%20cosec,%20cot%201%20M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D5D2-37A0-4DCB-9628-404B89BF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Harris</dc:creator>
  <cp:lastModifiedBy>Alexandra Hewitt</cp:lastModifiedBy>
  <cp:revision>4</cp:revision>
  <cp:lastPrinted>2017-05-02T11:04:00Z</cp:lastPrinted>
  <dcterms:created xsi:type="dcterms:W3CDTF">2018-09-03T15:40:00Z</dcterms:created>
  <dcterms:modified xsi:type="dcterms:W3CDTF">2018-09-03T15:41:00Z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