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 xml:space="preserve">Y12 AS </w:t>
      </w:r>
      <w:r w:rsidR="00883D23">
        <w:rPr>
          <w:b/>
          <w:sz w:val="24"/>
          <w:szCs w:val="24"/>
        </w:rPr>
        <w:t>Mathematics</w:t>
      </w:r>
      <w:bookmarkStart w:id="0" w:name="_GoBack"/>
      <w:bookmarkEnd w:id="0"/>
    </w:p>
    <w:p w:rsidR="00C66EAF" w:rsidRPr="006B4FC2" w:rsidRDefault="00C66EAF" w:rsidP="00D61130">
      <w:pPr>
        <w:rPr>
          <w:b/>
          <w:sz w:val="28"/>
          <w:szCs w:val="28"/>
        </w:rPr>
      </w:pPr>
      <w:r w:rsidRPr="006B4FC2">
        <w:rPr>
          <w:b/>
          <w:sz w:val="28"/>
          <w:szCs w:val="28"/>
        </w:rPr>
        <w:t xml:space="preserve">4 </w:t>
      </w:r>
      <w:r w:rsidR="00333841">
        <w:rPr>
          <w:b/>
          <w:sz w:val="28"/>
          <w:szCs w:val="28"/>
        </w:rPr>
        <w:t>Equations and inequalities</w:t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Pr="006B4FC2">
        <w:rPr>
          <w:b/>
          <w:sz w:val="28"/>
          <w:szCs w:val="28"/>
        </w:rPr>
        <w:tab/>
      </w:r>
      <w:r w:rsidR="00333841">
        <w:rPr>
          <w:b/>
          <w:sz w:val="28"/>
          <w:szCs w:val="28"/>
        </w:rPr>
        <w:t>1 week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333841" w:rsidRPr="00333841" w:rsidRDefault="00C66EAF" w:rsidP="00497D71">
      <w:pPr>
        <w:ind w:left="720" w:hanging="720"/>
      </w:pPr>
      <w:proofErr w:type="gramStart"/>
      <w:r w:rsidRPr="00333841">
        <w:rPr>
          <w:b/>
        </w:rPr>
        <w:lastRenderedPageBreak/>
        <w:t>a</w:t>
      </w:r>
      <w:proofErr w:type="gramEnd"/>
      <w:r w:rsidRPr="00333841">
        <w:tab/>
      </w:r>
      <w:r w:rsidR="00333841" w:rsidRPr="00333841">
        <w:t>Recap key GCSE algebra skills including manipulating and solving: linear equations, quadratic equations, equations including algebraic fractions.</w:t>
      </w:r>
    </w:p>
    <w:p w:rsidR="00333841" w:rsidRPr="00333841" w:rsidRDefault="00333841" w:rsidP="00497D71">
      <w:pPr>
        <w:ind w:left="720" w:hanging="720"/>
      </w:pPr>
      <w:proofErr w:type="gramStart"/>
      <w:r w:rsidRPr="00333841">
        <w:rPr>
          <w:b/>
        </w:rPr>
        <w:t>b</w:t>
      </w:r>
      <w:proofErr w:type="gramEnd"/>
      <w:r w:rsidRPr="00333841">
        <w:tab/>
        <w:t>Solve simultaneous equations in two variables by elimination and by substitution.</w:t>
      </w:r>
    </w:p>
    <w:p w:rsidR="00333841" w:rsidRPr="00333841" w:rsidRDefault="00333841" w:rsidP="00497D71">
      <w:pPr>
        <w:ind w:left="720" w:hanging="720"/>
      </w:pPr>
      <w:proofErr w:type="gramStart"/>
      <w:r w:rsidRPr="00333841">
        <w:rPr>
          <w:b/>
        </w:rPr>
        <w:t>c</w:t>
      </w:r>
      <w:proofErr w:type="gramEnd"/>
      <w:r w:rsidRPr="00333841">
        <w:tab/>
        <w:t>Solve simultaneous equations with one linear and one quadratic equation.</w:t>
      </w:r>
    </w:p>
    <w:p w:rsidR="00333841" w:rsidRPr="00333841" w:rsidRDefault="00333841" w:rsidP="00333841">
      <w:proofErr w:type="gramStart"/>
      <w:r w:rsidRPr="00333841">
        <w:rPr>
          <w:b/>
        </w:rPr>
        <w:t>d</w:t>
      </w:r>
      <w:proofErr w:type="gramEnd"/>
      <w:r w:rsidRPr="00333841">
        <w:tab/>
        <w:t>Solve linear and quadratic inequalities in a single variable.</w:t>
      </w:r>
    </w:p>
    <w:p w:rsidR="00333841" w:rsidRPr="00333841" w:rsidRDefault="00333841" w:rsidP="00333841">
      <w:proofErr w:type="spellStart"/>
      <w:proofErr w:type="gramStart"/>
      <w:r w:rsidRPr="00333841">
        <w:rPr>
          <w:b/>
        </w:rPr>
        <w:lastRenderedPageBreak/>
        <w:t>e</w:t>
      </w:r>
      <w:proofErr w:type="spellEnd"/>
      <w:proofErr w:type="gramEnd"/>
      <w:r w:rsidRPr="00333841">
        <w:tab/>
        <w:t>Interpret such inequalities graphically.</w:t>
      </w:r>
    </w:p>
    <w:p w:rsidR="00333841" w:rsidRPr="00333841" w:rsidRDefault="00333841" w:rsidP="00497D71">
      <w:pPr>
        <w:ind w:left="720" w:hanging="720"/>
      </w:pPr>
      <w:proofErr w:type="gramStart"/>
      <w:r w:rsidRPr="00333841">
        <w:rPr>
          <w:b/>
        </w:rPr>
        <w:t>f</w:t>
      </w:r>
      <w:proofErr w:type="gramEnd"/>
      <w:r w:rsidRPr="00333841">
        <w:tab/>
        <w:t xml:space="preserve">Solve and graphically interpret inequalities with brackets and fractions. </w:t>
      </w:r>
    </w:p>
    <w:p w:rsidR="00333841" w:rsidRPr="00333841" w:rsidRDefault="00333841" w:rsidP="00497D71">
      <w:pPr>
        <w:ind w:left="720" w:hanging="720"/>
      </w:pPr>
      <w:proofErr w:type="gramStart"/>
      <w:r w:rsidRPr="00333841">
        <w:rPr>
          <w:b/>
        </w:rPr>
        <w:t>g</w:t>
      </w:r>
      <w:proofErr w:type="gramEnd"/>
      <w:r w:rsidRPr="00333841">
        <w:tab/>
        <w:t>Express solutions through correct use of ‘and’ and ‘or’, or through set notation.</w:t>
      </w:r>
    </w:p>
    <w:p w:rsidR="00497D71" w:rsidRDefault="00333841" w:rsidP="00333841">
      <w:proofErr w:type="gramStart"/>
      <w:r w:rsidRPr="00333841">
        <w:rPr>
          <w:b/>
        </w:rPr>
        <w:t>h</w:t>
      </w:r>
      <w:proofErr w:type="gramEnd"/>
      <w:r w:rsidRPr="00333841">
        <w:tab/>
        <w:t>Represent linear and quadratic in</w:t>
      </w:r>
      <w:r w:rsidR="00497D71">
        <w:t>equalities such as y &gt; x +1 and</w:t>
      </w:r>
    </w:p>
    <w:p w:rsidR="00497D71" w:rsidRDefault="00497D71" w:rsidP="00497D71">
      <w:pPr>
        <w:ind w:firstLine="720"/>
      </w:pPr>
      <w:proofErr w:type="gramStart"/>
      <w:r>
        <w:t>y &gt; ax</w:t>
      </w:r>
      <w:r>
        <w:rPr>
          <w:vertAlign w:val="superscript"/>
        </w:rPr>
        <w:t>2</w:t>
      </w:r>
      <w:r w:rsidR="00333841" w:rsidRPr="00333841">
        <w:t xml:space="preserve"> + </w:t>
      </w:r>
      <w:proofErr w:type="spellStart"/>
      <w:r w:rsidR="00333841" w:rsidRPr="00333841">
        <w:t>bx</w:t>
      </w:r>
      <w:proofErr w:type="spellEnd"/>
      <w:r w:rsidR="00333841" w:rsidRPr="00333841">
        <w:t xml:space="preserve"> + c graphically.</w:t>
      </w:r>
      <w:proofErr w:type="gramEnd"/>
    </w:p>
    <w:p w:rsidR="00497D71" w:rsidRDefault="00497D71" w:rsidP="00333841">
      <w:pPr>
        <w:sectPr w:rsidR="00497D71" w:rsidSect="00497D71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:rsidR="00497D71" w:rsidRDefault="00497D71" w:rsidP="00333841"/>
    <w:p w:rsidR="00631313" w:rsidRPr="00497D71" w:rsidRDefault="00631313" w:rsidP="00333841">
      <w:pPr>
        <w:rPr>
          <w:b/>
          <w:bCs/>
        </w:rPr>
      </w:pPr>
      <w:r w:rsidRPr="00497D71">
        <w:rPr>
          <w:b/>
          <w:bCs/>
        </w:rPr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</w:pPr>
    </w:p>
    <w:p w:rsidR="00497D71" w:rsidRPr="00497D71" w:rsidRDefault="00497D71" w:rsidP="00C66EAF">
      <w:pPr>
        <w:pStyle w:val="Header"/>
        <w:rPr>
          <w:b/>
          <w:bCs/>
          <w:color w:val="0070C0"/>
        </w:rPr>
        <w:sectPr w:rsidR="00497D71" w:rsidRPr="00497D71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5245"/>
        <w:gridCol w:w="3227"/>
        <w:gridCol w:w="3402"/>
      </w:tblGrid>
      <w:tr w:rsidR="009537B6" w:rsidRPr="006B4FC2" w:rsidTr="00376ACB">
        <w:tc>
          <w:tcPr>
            <w:tcW w:w="392" w:type="dxa"/>
          </w:tcPr>
          <w:p w:rsidR="009537B6" w:rsidRPr="00F6697B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245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376ACB" w:rsidRPr="00376ACB" w:rsidTr="00376A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F6697B" w:rsidRDefault="00376ACB" w:rsidP="00376ACB">
            <w:pPr>
              <w:rPr>
                <w:b/>
              </w:rPr>
            </w:pPr>
            <w:r w:rsidRPr="00F6697B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FA02D2" w:rsidP="00376ACB">
            <w:hyperlink r:id="rId11" w:history="1">
              <w:r w:rsidR="00376ACB" w:rsidRPr="00376ACB">
                <w:rPr>
                  <w:rStyle w:val="Hyperlink"/>
                </w:rPr>
                <w:t>Multiple manipulations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376ACB" w:rsidP="00376ACB">
            <w:r w:rsidRPr="00376ACB">
              <w:t xml:space="preserve">Recap of algebraic key skills from GCSE, involving multiplying out double brackets, factorising, </w:t>
            </w:r>
            <w:proofErr w:type="gramStart"/>
            <w:r w:rsidRPr="00376ACB">
              <w:t>quadratics</w:t>
            </w:r>
            <w:proofErr w:type="gramEnd"/>
            <w:r w:rsidRPr="00376ACB">
              <w:t xml:space="preserve">. The later </w:t>
            </w:r>
            <w:proofErr w:type="gramStart"/>
            <w:r w:rsidRPr="00376ACB">
              <w:t>tasks includes</w:t>
            </w:r>
            <w:proofErr w:type="gramEnd"/>
            <w:r w:rsidRPr="00376ACB">
              <w:t xml:space="preserve"> inequalities.  Students to spend the majority of the time working individually with whole class discussion and group work towards the end of the lesson.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376ACB" w:rsidP="00376ACB">
            <w:r w:rsidRPr="00376ACB">
              <w:t>Key skills</w:t>
            </w:r>
          </w:p>
          <w:p w:rsidR="00376ACB" w:rsidRPr="00376ACB" w:rsidRDefault="00376ACB" w:rsidP="00376AC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376ACB">
              <w:t xml:space="preserve">Simplifying algebraic fractions </w:t>
            </w:r>
          </w:p>
          <w:p w:rsidR="00376ACB" w:rsidRPr="00376ACB" w:rsidRDefault="00376ACB" w:rsidP="00376AC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376ACB">
              <w:t xml:space="preserve">Solving algebraic fractions </w:t>
            </w:r>
          </w:p>
          <w:p w:rsidR="00376ACB" w:rsidRPr="00376ACB" w:rsidRDefault="00376ACB" w:rsidP="00376ACB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376ACB">
              <w:t>Simplifying algebraic inequalities including fractions.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FA02D2" w:rsidP="00376ACB">
            <w:hyperlink r:id="rId12" w:history="1">
              <w:r w:rsidR="00376ACB" w:rsidRPr="00376ACB">
                <w:rPr>
                  <w:rStyle w:val="Hyperlink"/>
                </w:rPr>
                <w:t>Review Question: Can we simplify these algebraic fractions</w:t>
              </w:r>
            </w:hyperlink>
          </w:p>
          <w:p w:rsidR="00376ACB" w:rsidRPr="00376ACB" w:rsidRDefault="00376ACB" w:rsidP="00376ACB">
            <w:r w:rsidRPr="00376ACB">
              <w:t>Homework, routine practice questions from text book or integral worksheet if available</w:t>
            </w:r>
          </w:p>
        </w:tc>
      </w:tr>
      <w:tr w:rsidR="00376ACB" w:rsidTr="00376A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F6697B" w:rsidRDefault="00376ACB" w:rsidP="00376ACB">
            <w:pPr>
              <w:rPr>
                <w:b/>
              </w:rPr>
            </w:pPr>
            <w:r w:rsidRPr="00F6697B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Default="00376ACB" w:rsidP="00376ACB">
            <w:r w:rsidRPr="00376ACB">
              <w:t>Maths box or integral short question set, Algebraic manipulation from GCSE. Mini whiteboard activity?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Default="00FA02D2" w:rsidP="00376ACB">
            <w:hyperlink r:id="rId13" w:history="1">
              <w:r w:rsidR="00376ACB" w:rsidRPr="00376ACB">
                <w:rPr>
                  <w:rStyle w:val="Hyperlink"/>
                </w:rPr>
                <w:t>Real World Problems</w:t>
              </w:r>
            </w:hyperlink>
            <w:r w:rsidR="00376ACB" w:rsidRPr="00376ACB">
              <w:t xml:space="preserve"> </w:t>
            </w:r>
          </w:p>
          <w:p w:rsidR="00376ACB" w:rsidRDefault="00376ACB" w:rsidP="00376ACB">
            <w:r w:rsidRPr="00376ACB">
              <w:t xml:space="preserve">Application of algebraic skills. Students to work in pairs, first filling in the blanks and solving their own questions, then swapping questions and solving </w:t>
            </w:r>
            <w:proofErr w:type="spellStart"/>
            <w:r w:rsidRPr="00376ACB">
              <w:t>each others</w:t>
            </w:r>
            <w:proofErr w:type="spellEnd"/>
            <w:r w:rsidRPr="00376ACB">
              <w:t xml:space="preserve">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Default="00376ACB" w:rsidP="00376ACB">
            <w:r w:rsidRPr="00376ACB">
              <w:t>Key skills</w:t>
            </w:r>
          </w:p>
          <w:p w:rsidR="00376ACB" w:rsidRDefault="00376ACB" w:rsidP="00376ACB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376ACB">
              <w:t>Forming and solving algebraic equations</w:t>
            </w:r>
          </w:p>
          <w:p w:rsidR="00376ACB" w:rsidRDefault="00376ACB" w:rsidP="00376ACB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376ACB">
              <w:t>Working backwards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FA02D2" w:rsidP="00376ACB">
            <w:hyperlink r:id="rId14" w:history="1">
              <w:r w:rsidR="00376ACB" w:rsidRPr="00376ACB">
                <w:rPr>
                  <w:rStyle w:val="Hyperlink"/>
                </w:rPr>
                <w:t>Review Question: Can we find the radii of two circles given two clues?</w:t>
              </w:r>
            </w:hyperlink>
          </w:p>
          <w:p w:rsidR="00376ACB" w:rsidRDefault="00376ACB" w:rsidP="00376ACB">
            <w:r w:rsidRPr="00376ACB">
              <w:t>Homework, routine practice questions from text book or integral worksheet if available</w:t>
            </w:r>
          </w:p>
        </w:tc>
      </w:tr>
      <w:tr w:rsidR="00376ACB" w:rsidRPr="00376ACB" w:rsidTr="00376A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F6697B" w:rsidRDefault="00376ACB" w:rsidP="00376ACB">
            <w:pPr>
              <w:rPr>
                <w:b/>
              </w:rPr>
            </w:pPr>
            <w:r w:rsidRPr="00F6697B"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FA02D2" w:rsidP="00376ACB">
            <w:hyperlink r:id="rId15" w:history="1">
              <w:r w:rsidR="00376ACB" w:rsidRPr="00376ACB">
                <w:rPr>
                  <w:rStyle w:val="Hyperlink"/>
                </w:rPr>
                <w:t>Two way algebra</w:t>
              </w:r>
            </w:hyperlink>
          </w:p>
          <w:p w:rsidR="00376ACB" w:rsidRDefault="00376ACB" w:rsidP="00376ACB">
            <w:r w:rsidRPr="00376ACB">
              <w:t xml:space="preserve">Students to work in small groups. Print out the table large for students, 1 each. Encourage students to work in pencil and try lots of different variations. </w:t>
            </w:r>
          </w:p>
          <w:p w:rsidR="00376ACB" w:rsidRPr="00376ACB" w:rsidRDefault="00376ACB" w:rsidP="00376ACB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376ACB" w:rsidP="00376ACB">
            <w:r w:rsidRPr="00376ACB">
              <w:t xml:space="preserve">Students to describe their Colum titles and the reasons chosen. More than 1 correct solution so may trigger some interesting discussions and variations.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376ACB" w:rsidP="00376ACB">
            <w:r w:rsidRPr="00376ACB">
              <w:t>Key skills</w:t>
            </w:r>
          </w:p>
          <w:p w:rsidR="00376ACB" w:rsidRPr="00376ACB" w:rsidRDefault="00376ACB" w:rsidP="00376ACB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376ACB">
              <w:t>Solving equations</w:t>
            </w:r>
          </w:p>
          <w:p w:rsidR="00376ACB" w:rsidRPr="00376ACB" w:rsidRDefault="00376ACB" w:rsidP="00376ACB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376ACB">
              <w:t>Solving inequalities</w:t>
            </w:r>
          </w:p>
          <w:p w:rsidR="00376ACB" w:rsidRPr="00376ACB" w:rsidRDefault="00376ACB" w:rsidP="00376ACB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376ACB">
              <w:t>Solving simultaneous equations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FA02D2" w:rsidP="00376ACB">
            <w:hyperlink r:id="rId16" w:history="1">
              <w:r w:rsidR="00376ACB" w:rsidRPr="00376ACB">
                <w:rPr>
                  <w:rStyle w:val="Hyperlink"/>
                </w:rPr>
                <w:t>Review Question: When do these simultaneous equations have a positive solution?</w:t>
              </w:r>
            </w:hyperlink>
          </w:p>
          <w:p w:rsidR="00376ACB" w:rsidRPr="00376ACB" w:rsidRDefault="00376ACB" w:rsidP="00376ACB">
            <w:r w:rsidRPr="00376ACB">
              <w:t>Homework, routine practice questions from text book or integral worksheet if available</w:t>
            </w:r>
          </w:p>
        </w:tc>
      </w:tr>
      <w:tr w:rsidR="00376ACB" w:rsidRPr="006B4FC2" w:rsidTr="00376ACB">
        <w:tc>
          <w:tcPr>
            <w:tcW w:w="392" w:type="dxa"/>
          </w:tcPr>
          <w:p w:rsidR="00376ACB" w:rsidRPr="00F6697B" w:rsidRDefault="00376ACB" w:rsidP="008E551D">
            <w:pPr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376ACB" w:rsidRPr="006B4FC2" w:rsidRDefault="00376ACB" w:rsidP="008E55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245" w:type="dxa"/>
          </w:tcPr>
          <w:p w:rsidR="00376ACB" w:rsidRPr="006B4FC2" w:rsidRDefault="00376ACB" w:rsidP="008E55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376ACB" w:rsidRPr="006B4FC2" w:rsidRDefault="00376ACB" w:rsidP="008E551D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376ACB" w:rsidRPr="006B4FC2" w:rsidRDefault="00376ACB" w:rsidP="008E551D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376ACB" w:rsidRPr="006B4FC2" w:rsidRDefault="00376ACB" w:rsidP="008E551D">
            <w:r w:rsidRPr="006B4FC2">
              <w:t>Including Support and Extension</w:t>
            </w:r>
          </w:p>
        </w:tc>
        <w:tc>
          <w:tcPr>
            <w:tcW w:w="3402" w:type="dxa"/>
          </w:tcPr>
          <w:p w:rsidR="00376ACB" w:rsidRPr="006B4FC2" w:rsidRDefault="00376ACB" w:rsidP="008E55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376ACB" w:rsidRPr="006B4FC2" w:rsidRDefault="00376ACB" w:rsidP="008E551D">
            <w:r w:rsidRPr="006B4FC2">
              <w:t>Including key questions and homework</w:t>
            </w:r>
          </w:p>
        </w:tc>
      </w:tr>
      <w:tr w:rsidR="00376ACB" w:rsidRPr="00376ACB" w:rsidTr="00376A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F6697B" w:rsidRDefault="00376ACB" w:rsidP="00376ACB">
            <w:pPr>
              <w:rPr>
                <w:b/>
              </w:rPr>
            </w:pPr>
          </w:p>
          <w:p w:rsidR="00376ACB" w:rsidRPr="00F6697B" w:rsidRDefault="00376ACB" w:rsidP="00376ACB">
            <w:pPr>
              <w:rPr>
                <w:b/>
              </w:rPr>
            </w:pPr>
            <w:r w:rsidRPr="00F6697B"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376ACB" w:rsidP="00376ACB">
            <w:r w:rsidRPr="00376ACB">
              <w:t>Maths box or integral short question set, Algebraic manipulation from GCSE. Mini whiteboard activity?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FA02D2" w:rsidP="00376ACB">
            <w:hyperlink r:id="rId17" w:history="1">
              <w:r w:rsidR="00376ACB" w:rsidRPr="00376ACB">
                <w:rPr>
                  <w:rStyle w:val="Hyperlink"/>
                </w:rPr>
                <w:t>Inequalities for some occasions</w:t>
              </w:r>
            </w:hyperlink>
          </w:p>
          <w:p w:rsidR="00376ACB" w:rsidRDefault="00376ACB" w:rsidP="00376ACB">
            <w:r w:rsidRPr="00376ACB">
              <w:t xml:space="preserve">Print and cut out the cards and a large copy of the Venn diagram.  Students to sort the cards into the </w:t>
            </w:r>
            <w:proofErr w:type="spellStart"/>
            <w:r w:rsidRPr="00376ACB">
              <w:t>venn</w:t>
            </w:r>
            <w:proofErr w:type="spellEnd"/>
            <w:r w:rsidRPr="00376ACB">
              <w:t xml:space="preserve"> diagram. Encourage students to explain their reasoning to the class. </w:t>
            </w:r>
          </w:p>
          <w:p w:rsidR="00376ACB" w:rsidRPr="00376ACB" w:rsidRDefault="00376ACB" w:rsidP="00376ACB"/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376ACB" w:rsidP="00376ACB">
            <w:r w:rsidRPr="00376ACB">
              <w:t>Key skills</w:t>
            </w:r>
          </w:p>
          <w:p w:rsidR="00376ACB" w:rsidRPr="00376ACB" w:rsidRDefault="00376ACB" w:rsidP="00376ACB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</w:pPr>
            <w:r w:rsidRPr="00376ACB">
              <w:t>Solving linear and quadratic inequalities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FA02D2" w:rsidP="00376ACB">
            <w:hyperlink r:id="rId18" w:history="1">
              <w:r w:rsidR="00376ACB" w:rsidRPr="00376ACB">
                <w:rPr>
                  <w:rStyle w:val="Hyperlink"/>
                </w:rPr>
                <w:t>Review Question: When are these inequalities true together</w:t>
              </w:r>
            </w:hyperlink>
          </w:p>
          <w:p w:rsidR="00376ACB" w:rsidRPr="00376ACB" w:rsidRDefault="00376ACB" w:rsidP="00376ACB">
            <w:r w:rsidRPr="00376ACB">
              <w:t>Homework, routine practice questions from text book or integral worksheet if available</w:t>
            </w:r>
          </w:p>
        </w:tc>
      </w:tr>
      <w:tr w:rsidR="00376ACB" w:rsidTr="00376A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F6697B" w:rsidRDefault="00376ACB" w:rsidP="00376ACB">
            <w:pPr>
              <w:rPr>
                <w:b/>
              </w:rPr>
            </w:pPr>
            <w:r w:rsidRPr="00F6697B">
              <w:rPr>
                <w:b/>
              </w:rPr>
              <w:t>(5)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Default="00376ACB" w:rsidP="00376ACB">
            <w:r w:rsidRPr="00376ACB">
              <w:t>Mini whiteboard activity on identifying equations of graphs</w:t>
            </w:r>
          </w:p>
          <w:p w:rsidR="00376ACB" w:rsidRDefault="00FA02D2" w:rsidP="00376ACB">
            <w:hyperlink r:id="rId19" w:history="1">
              <w:r w:rsidR="00376ACB" w:rsidRPr="00376ACB">
                <w:rPr>
                  <w:rStyle w:val="Hyperlink"/>
                </w:rPr>
                <w:t xml:space="preserve">Suggested activity on </w:t>
              </w:r>
              <w:proofErr w:type="spellStart"/>
              <w:r w:rsidR="00376ACB" w:rsidRPr="00376ACB">
                <w:rPr>
                  <w:rStyle w:val="Hyperlink"/>
                </w:rPr>
                <w:t>cubics</w:t>
              </w:r>
              <w:proofErr w:type="spellEnd"/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Pr="00376ACB" w:rsidRDefault="00FA02D2" w:rsidP="00376ACB">
            <w:hyperlink r:id="rId20" w:history="1">
              <w:r w:rsidR="00376ACB" w:rsidRPr="00376ACB">
                <w:rPr>
                  <w:rStyle w:val="Hyperlink"/>
                </w:rPr>
                <w:t>Inequality sets</w:t>
              </w:r>
            </w:hyperlink>
          </w:p>
          <w:p w:rsidR="00376ACB" w:rsidRDefault="00376ACB" w:rsidP="00376ACB">
            <w:r w:rsidRPr="00376ACB">
              <w:t xml:space="preserve">Group activity, maybe using mini whiteboards to try with different graphs/inequalities. </w:t>
            </w:r>
          </w:p>
          <w:p w:rsidR="00376ACB" w:rsidRDefault="00376ACB" w:rsidP="00376ACB">
            <w:r w:rsidRPr="00376ACB">
              <w:t>The “taking it further” element would be a good extension for highest attaining pupils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Default="00376ACB" w:rsidP="00376ACB">
            <w:r w:rsidRPr="00376ACB">
              <w:t>Key skills</w:t>
            </w:r>
          </w:p>
          <w:p w:rsidR="00376ACB" w:rsidRDefault="00376ACB" w:rsidP="00376AC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</w:pPr>
            <w:r w:rsidRPr="00376ACB">
              <w:t>Solving linear and quadratic inequalities</w:t>
            </w:r>
          </w:p>
          <w:p w:rsidR="00376ACB" w:rsidRDefault="00376ACB" w:rsidP="00376ACB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60" w:line="259" w:lineRule="auto"/>
              <w:contextualSpacing w:val="0"/>
            </w:pPr>
            <w:r w:rsidRPr="00376ACB">
              <w:t>Graphing inequalities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CB" w:rsidRDefault="00376ACB" w:rsidP="00376ACB">
            <w:r w:rsidRPr="00376ACB">
              <w:t>Homework, revision for equations and inequalities assessment.</w:t>
            </w:r>
          </w:p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D2" w:rsidRDefault="00FA02D2" w:rsidP="00FD7BFE">
      <w:r>
        <w:separator/>
      </w:r>
    </w:p>
  </w:endnote>
  <w:endnote w:type="continuationSeparator" w:id="0">
    <w:p w:rsidR="00FA02D2" w:rsidRDefault="00FA02D2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883D2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883D23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11516D" wp14:editId="366DA1DF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6E7AD06" wp14:editId="20E57DD2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D2" w:rsidRDefault="00FA02D2" w:rsidP="00FD7BFE">
      <w:r>
        <w:separator/>
      </w:r>
    </w:p>
  </w:footnote>
  <w:footnote w:type="continuationSeparator" w:id="0">
    <w:p w:rsidR="00FA02D2" w:rsidRDefault="00FA02D2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14576"/>
    <w:multiLevelType w:val="hybridMultilevel"/>
    <w:tmpl w:val="E544DF12"/>
    <w:lvl w:ilvl="0" w:tplc="5E1A988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36B81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45F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3CF44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A47B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8397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F4A7E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7E114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02D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025F31"/>
    <w:multiLevelType w:val="hybridMultilevel"/>
    <w:tmpl w:val="4B7C50F6"/>
    <w:lvl w:ilvl="0" w:tplc="4566C42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A4591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80BF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8841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A02E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C658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89E1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922B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AD78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81E65"/>
    <w:multiLevelType w:val="hybridMultilevel"/>
    <w:tmpl w:val="65F02160"/>
    <w:lvl w:ilvl="0" w:tplc="C01692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6665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8ADA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4EF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855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AC3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655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26CA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0FA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467F6"/>
    <w:multiLevelType w:val="hybridMultilevel"/>
    <w:tmpl w:val="1702FC3E"/>
    <w:lvl w:ilvl="0" w:tplc="8A685F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80AE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F28E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88576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9CD94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02A30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64A6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20D3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C748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41CE6"/>
    <w:multiLevelType w:val="hybridMultilevel"/>
    <w:tmpl w:val="D0EA2B9A"/>
    <w:lvl w:ilvl="0" w:tplc="079A1AF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72E3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807E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AF45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8052D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0596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285F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E412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F6C62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0"/>
  </w:num>
  <w:num w:numId="5">
    <w:abstractNumId w:val="20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22"/>
  </w:num>
  <w:num w:numId="15">
    <w:abstractNumId w:val="26"/>
  </w:num>
  <w:num w:numId="16">
    <w:abstractNumId w:val="17"/>
  </w:num>
  <w:num w:numId="17">
    <w:abstractNumId w:val="13"/>
  </w:num>
  <w:num w:numId="18">
    <w:abstractNumId w:val="1"/>
  </w:num>
  <w:num w:numId="19">
    <w:abstractNumId w:val="4"/>
  </w:num>
  <w:num w:numId="20">
    <w:abstractNumId w:val="9"/>
  </w:num>
  <w:num w:numId="21">
    <w:abstractNumId w:val="23"/>
  </w:num>
  <w:num w:numId="22">
    <w:abstractNumId w:val="24"/>
  </w:num>
  <w:num w:numId="23">
    <w:abstractNumId w:val="3"/>
  </w:num>
  <w:num w:numId="24">
    <w:abstractNumId w:val="16"/>
  </w:num>
  <w:num w:numId="25">
    <w:abstractNumId w:val="19"/>
  </w:num>
  <w:num w:numId="26">
    <w:abstractNumId w:val="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46BDF"/>
    <w:rsid w:val="00051FBB"/>
    <w:rsid w:val="00072BD3"/>
    <w:rsid w:val="00075173"/>
    <w:rsid w:val="00080939"/>
    <w:rsid w:val="00080C7C"/>
    <w:rsid w:val="00090A54"/>
    <w:rsid w:val="000F2B6F"/>
    <w:rsid w:val="000F3F19"/>
    <w:rsid w:val="00100074"/>
    <w:rsid w:val="00113800"/>
    <w:rsid w:val="0015110A"/>
    <w:rsid w:val="00160C9F"/>
    <w:rsid w:val="00164150"/>
    <w:rsid w:val="00190982"/>
    <w:rsid w:val="001961FB"/>
    <w:rsid w:val="001F046C"/>
    <w:rsid w:val="002152B1"/>
    <w:rsid w:val="00252CE5"/>
    <w:rsid w:val="0027124D"/>
    <w:rsid w:val="00286CAE"/>
    <w:rsid w:val="00293A94"/>
    <w:rsid w:val="0029714F"/>
    <w:rsid w:val="002A18AE"/>
    <w:rsid w:val="002B2679"/>
    <w:rsid w:val="002B3A85"/>
    <w:rsid w:val="002D3ECB"/>
    <w:rsid w:val="003068E2"/>
    <w:rsid w:val="00313295"/>
    <w:rsid w:val="00327C2A"/>
    <w:rsid w:val="00333841"/>
    <w:rsid w:val="00356F3F"/>
    <w:rsid w:val="00357014"/>
    <w:rsid w:val="00376ACB"/>
    <w:rsid w:val="00377EF8"/>
    <w:rsid w:val="00392FE7"/>
    <w:rsid w:val="003B3572"/>
    <w:rsid w:val="003C7AC9"/>
    <w:rsid w:val="003E7F1D"/>
    <w:rsid w:val="00425181"/>
    <w:rsid w:val="00455E5C"/>
    <w:rsid w:val="00497D71"/>
    <w:rsid w:val="004C286F"/>
    <w:rsid w:val="004E2CE7"/>
    <w:rsid w:val="004E3C23"/>
    <w:rsid w:val="00501BA7"/>
    <w:rsid w:val="00521613"/>
    <w:rsid w:val="005417D9"/>
    <w:rsid w:val="00564495"/>
    <w:rsid w:val="00573434"/>
    <w:rsid w:val="005823C9"/>
    <w:rsid w:val="005B56D6"/>
    <w:rsid w:val="00601AE0"/>
    <w:rsid w:val="00605847"/>
    <w:rsid w:val="00612FC7"/>
    <w:rsid w:val="006242F2"/>
    <w:rsid w:val="00631313"/>
    <w:rsid w:val="00641984"/>
    <w:rsid w:val="00644875"/>
    <w:rsid w:val="006702C1"/>
    <w:rsid w:val="00681604"/>
    <w:rsid w:val="00694002"/>
    <w:rsid w:val="006B4FC2"/>
    <w:rsid w:val="006E5234"/>
    <w:rsid w:val="00722900"/>
    <w:rsid w:val="0073718C"/>
    <w:rsid w:val="0074256C"/>
    <w:rsid w:val="00751F0D"/>
    <w:rsid w:val="00761865"/>
    <w:rsid w:val="00782CA3"/>
    <w:rsid w:val="00790699"/>
    <w:rsid w:val="007A4EA3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83890"/>
    <w:rsid w:val="00883D23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33B1"/>
    <w:rsid w:val="00965BA2"/>
    <w:rsid w:val="009844D8"/>
    <w:rsid w:val="00A071B0"/>
    <w:rsid w:val="00A1530D"/>
    <w:rsid w:val="00A22A46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6792B"/>
    <w:rsid w:val="00B756DE"/>
    <w:rsid w:val="00B80079"/>
    <w:rsid w:val="00B8623E"/>
    <w:rsid w:val="00BA09CE"/>
    <w:rsid w:val="00BB7D20"/>
    <w:rsid w:val="00BE4200"/>
    <w:rsid w:val="00C4369C"/>
    <w:rsid w:val="00C5253D"/>
    <w:rsid w:val="00C66EAF"/>
    <w:rsid w:val="00CA7B28"/>
    <w:rsid w:val="00CB59AF"/>
    <w:rsid w:val="00CF58E0"/>
    <w:rsid w:val="00D06B39"/>
    <w:rsid w:val="00D21722"/>
    <w:rsid w:val="00D45FA5"/>
    <w:rsid w:val="00D60385"/>
    <w:rsid w:val="00D61130"/>
    <w:rsid w:val="00D7305F"/>
    <w:rsid w:val="00DA732D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756E3"/>
    <w:rsid w:val="00E82505"/>
    <w:rsid w:val="00E90E12"/>
    <w:rsid w:val="00EC2957"/>
    <w:rsid w:val="00EC3A18"/>
    <w:rsid w:val="00EE51CC"/>
    <w:rsid w:val="00EF5A06"/>
    <w:rsid w:val="00F25C65"/>
    <w:rsid w:val="00F35187"/>
    <w:rsid w:val="00F43B8A"/>
    <w:rsid w:val="00F5081E"/>
    <w:rsid w:val="00F5147E"/>
    <w:rsid w:val="00F6697B"/>
    <w:rsid w:val="00FA02D2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376AC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376ACB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</w:rPr>
  </w:style>
  <w:style w:type="character" w:customStyle="1" w:styleId="Hyperlink1">
    <w:name w:val="Hyperlink.1"/>
    <w:basedOn w:val="DefaultParagraphFont"/>
    <w:rsid w:val="00376ACB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</w:rPr>
  </w:style>
  <w:style w:type="character" w:customStyle="1" w:styleId="Link">
    <w:name w:val="Link"/>
    <w:rsid w:val="00376ACB"/>
    <w:rPr>
      <w:color w:val="0563C1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rsid w:val="00376AC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376ACB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</w:rPr>
  </w:style>
  <w:style w:type="character" w:customStyle="1" w:styleId="Hyperlink1">
    <w:name w:val="Hyperlink.1"/>
    <w:basedOn w:val="DefaultParagraphFont"/>
    <w:rsid w:val="00376ACB"/>
    <w:rPr>
      <w:rFonts w:ascii="Calibri" w:eastAsia="Calibri" w:hAnsi="Calibri" w:cs="Calibri"/>
      <w:caps w:val="0"/>
      <w:smallCaps w:val="0"/>
      <w:strike w:val="0"/>
      <w:dstrike w:val="0"/>
      <w:outline w:val="0"/>
      <w:color w:val="0563C1"/>
      <w:spacing w:val="0"/>
      <w:kern w:val="0"/>
      <w:position w:val="0"/>
      <w:sz w:val="22"/>
      <w:szCs w:val="22"/>
      <w:u w:val="single" w:color="0563C1"/>
      <w:vertAlign w:val="baseline"/>
      <w:lang w:val="en-US"/>
    </w:rPr>
  </w:style>
  <w:style w:type="character" w:customStyle="1" w:styleId="Link">
    <w:name w:val="Link"/>
    <w:rsid w:val="00376ACB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groundmathematics.org/thinking-about-algebra/real-world-problems" TargetMode="External"/><Relationship Id="rId18" Type="http://schemas.openxmlformats.org/officeDocument/2006/relationships/hyperlink" Target="https://undergroundmathematics.org/quadratics/r998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ndergroundmathematics.org/thinking-about-algebra/r5364" TargetMode="External"/><Relationship Id="rId17" Type="http://schemas.openxmlformats.org/officeDocument/2006/relationships/hyperlink" Target="https://undergroundmathematics.org/quadratics/inequalities-for-some-occas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ergroundmathematics.org/thinking-about-algebra/r8158" TargetMode="External"/><Relationship Id="rId20" Type="http://schemas.openxmlformats.org/officeDocument/2006/relationships/hyperlink" Target="https://undergroundmathematics.org/polynomials/inequaliti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dergroundmathematics.org/thinking-about-algebra/multiple-manipula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dergroundmathematics.org/thinking-about-algebra/two-way-algebra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rive.google.com/file/d/0B9L2lYGRiK2bQ1BiZ0lhTzl5Y3M/edit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thinking-about-algebra/r7032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2DF13-57AE-41C1-8E7F-53ACE5EE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8</cp:revision>
  <cp:lastPrinted>2017-04-26T16:01:00Z</cp:lastPrinted>
  <dcterms:created xsi:type="dcterms:W3CDTF">2017-08-23T18:22:00Z</dcterms:created>
  <dcterms:modified xsi:type="dcterms:W3CDTF">2018-08-10T09:40:00Z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